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https://www.autoritedelaconcurrence.fr/fr/decision-de-controle-des-concentrations/relative-la-prise-de-controle-exclusif-de-la-societe-84</w:t>
      </w:r>
    </w:p>
    <w:p>
      <w:r>
        <w:t>Pages translated : 9</w:t>
      </w:r>
    </w:p>
    <w:p/>
    <w:p>
      <w:r>
        <w:rPr>
          <w:b/>
        </w:rPr>
        <w:t>[Pages 1–3]</w:t>
      </w:r>
    </w:p>
    <w:p>
      <w:r>
        <w:t xml:space="preserve">FRENCH REPUBLIC  </w:t>
        <w:br/>
        <w:t xml:space="preserve">Decision No. 13-DCC-34 of March 14, 2013  </w:t>
        <w:br/>
        <w:t xml:space="preserve">regarding the exclusive control of the company Novatrans  </w:t>
        <w:br/>
        <w:t>by the Charles André Group</w:t>
      </w:r>
    </w:p>
    <w:p>
      <w:r>
        <w:t xml:space="preserve">The Competition Authority,  </w:t>
        <w:br/>
        <w:t xml:space="preserve">Having regard to the notification file submitted in full to the merger service on February 7, 2013,  </w:t>
        <w:br/>
        <w:t xml:space="preserve">regarding the exclusive control of the company Novatrans by the Charles André Group,  </w:t>
        <w:br/>
        <w:t xml:space="preserve">formalized by a firm acquisition offer dated September 24, 2012;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Charles André SAS is the parent company of a group of subsidiaries forming the Charles André Group (hereinafter "GCA"), wholly owned by the company Fimholog, a family holding company that does not hold any other controlling interests. GCA is active in the sectors of road transport and logistics of bulk products, automotive logistics, intermodal transport organization, interior cleaning of tankers, and hospitality in Europe and Morocco.  </w:t>
        <w:br/>
        <w:t xml:space="preserve">2. The company Novatrans is currently 96.67% owned by the company EIH, controlled by the SNCF Group. Novatrans and its subsidiaries (hereinafter "Novatrans") operate as a combined rail-road transport operator on domestic and international routes.  </w:t>
        <w:br/>
        <w:t>3. The operation, formalized by a firm acquisition offer dated September 24, 2012, consists of the acquisition of all shares and voting rights of SNCF in Novatrans, under various conditions. This offer was accepted by the SNCF commitments committee on September 25, 2012, and by the board of directors of Novatrans on September 26, 2012. In accordance with the terms of this firm offer, a share transfer agreement for Novatrans was finalized between the parties and signed on February 21, 2013.</w:t>
      </w:r>
    </w:p>
    <w:p>
      <w:r>
        <w:t xml:space="preserve">4. In that it results in the exclusive control of Novatrans by GCA, the notified operation constitutes a concentration operation within the meaning of Article L. 430-1 of the Commercial Code.  </w:t>
        <w:br/>
        <w:t>5. The companies concerned have together achieved a consolidated worldwide turnover of more than 150 million euros in the last closed financial year (Fimholog: 937.09 million euros; Novatrans: 86.76 million euros as of December 31, 2011). Each of these companies has achieved, in France, a turnover exceeding 50 million euros (Fimholog including Anvil Finance: 782.7 million euros; Novatrans: 61.57 million euros).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Intermodal transport consists of transporting goods in the same intermodal transport unit (UTI) or the same road vehicle using two or more modes of transport. Combined transport is an intermodal transport where the main routes are carried out by rail, waterways, or sea, and where the initial and/or final routes are carried out by road and are as short as possible.  </w:t>
        <w:br/>
        <w:t xml:space="preserve">7. Combined rail-road transport can be accompanied or unaccompanied. In unaccompanied mode, goods are loaded at the departure from factories or warehouses into UTIs (containers, swap bodies, tankers, or semi-trailers adapted for intermodal transport), then transported by road to a combined transport terminal. The UTIs are then loaded onto a train to be transported to the arrival terminal. After being transferred again onto a road vehicle, they are delivered to their destination.  </w:t>
        <w:br/>
        <w:t xml:space="preserve">8. Novatrans offers unaccompanied combined rail-road transport services for goods. Novatrans is also the manager of several combined transport terminals. In this capacity, it provides loading and unloading services for UTIs as well as various administrative formalities at these terminals.  </w:t>
        <w:br/>
        <w:t>9. GCA is a road freight transport operator; it is also an organizer of intermodal transport on behalf of its shipper clients and carries out pre- and post-road transport operations to and from combined transport terminals. Its activities are therefore downstream of those of the target, and the markets will be delineated in terms of the potential vertical effects of the operation.</w:t>
      </w:r>
    </w:p>
    <w:p>
      <w:r>
        <w:t xml:space="preserve">A. THE SERVICE MARKETS  </w:t>
        <w:br/>
        <w:t xml:space="preserve">1. THE MARKET FOR UNACCOMPANIED COMBINED RAIL-ROAD TRANSPORT  </w:t>
        <w:br/>
        <w:t xml:space="preserve">10. In Decision No. 09-DCC-54 of October 16, 2009, authorizing the takeover of Novatrans by a subsidiary of the SNCF Group, the Competition Authority identified a relevant market for unaccompanied combined transport of goods (hereinafter "TCRR"). The Authority successively examined the substitutability of TCRR with alternative modes of freight transport such as conventional rail freight transport (known as "conventional freight"), accompanied combined rail-road transport, maritime combined transport, and road freight transport. This examination revealed that these different freight transport solutions are not or are weakly substitutable with TCRR, particularly due to the nature of the goods transported, the specificity of the equipment and terminals required for each of these types of transport, and the expectations of end customers depending on each mode used.  </w:t>
        <w:br/>
        <w:t xml:space="preserve">11. The Authority considered segmenting the TCRR market more finely according to the nature of the goods transported, particularly for hazardous materials, subject to declaration, and refrigerated products whose transport requires that the UTIs be connected to a power source. However, this question was left open.  </w:t>
        <w:br/>
        <w:t xml:space="preserve">12. The parties consider that a segmentation of the market according to the type of products transported is not relevant on the grounds that TCRR operators, such as Novatrans, do not organize specialized transport according to the type of goods but offer their combined transport services without distinguishing the transported goods.  </w:t>
        <w:br/>
        <w:t>13. In this case, however, the question of the existence of distinct markets concerning TCRR for hazardous materials and temperature-controlled products may be left open, insofar as whatever hypothesis is retained, the conclusions of the competitive analysis will remain unchanged.</w:t>
      </w:r>
    </w:p>
    <w:p>
      <w:r>
        <w:t xml:space="preserve">2. COMBINED TRANSPORT TERMINAL SERVICES  </w:t>
        <w:br/>
        <w:t xml:space="preserve">14. Combined transport terminals are sites for loading and unloading UTIs, featuring a control area for the entry and exit of trucks as well as handling areas. The terminals include one or more yards within which combined transport operators store and/or transship UTIs from trucks to trains or vice versa. These terminals are therefore necessary for combined transport operators to carry out their activities.  </w:t>
        <w:br/>
        <w:t xml:space="preserve">15. In France, most combined transport terminals belong to Réseau Ferré de France (hereinafter "RFF"), the manager of the national rail network. RFF leases these terminals to combined transport operators through public domain occupancy agreements. Most of the time, the combined transport operator managing the terminal itself provides the services related to the operation of the terminal. However, it may use the services of an independent terminal operator.  </w:t>
        <w:br/>
        <w:t>16. In Decision No. 09-DCC-54, the Authority, after recalling the decision-making practice and French and Community jurisprudence relating to transport terminals, concluded that</w:t>
      </w:r>
    </w:p>
    <w:p>
      <w:r>
        <w:rPr>
          <w:b/>
        </w:rPr>
        <w:t>[Pages 4–6]</w:t>
      </w:r>
    </w:p>
    <w:p>
      <w:r>
        <w:t>the combined transport terminal services constituted a distinct market. It noted that the provision of the combined transport terminal and the corresponding services are generally bundled within a single service contract that includes the occupation of the terminal, the handling of ITUs, and various administrative services.</w:t>
      </w:r>
    </w:p>
    <w:p>
      <w:r>
        <w:t>17. There is no need to challenge this delimitation during the examination of the present operation. Since Novatrans is the manager of several combined transport terminals, the analysis will therefore be conducted on such a market in terms of the potential vertical effects of the operation.</w:t>
      </w:r>
    </w:p>
    <w:p>
      <w:r>
        <w:t>3. ROAD FREIGHT TRANSPORT</w:t>
      </w:r>
    </w:p>
    <w:p>
      <w:r>
        <w:t>18. Competition authorities, both national and community, have considered several segmentations of the road freight transport market based on the type of transport offers proposed, the nature of the products transported, or their mode of packaging.</w:t>
      </w:r>
    </w:p>
    <w:p>
      <w:r>
        <w:t>19. Regarding the type of offers proposed, four segmentations have been considered by the decision-making practice depending on whether it is (i) dedicated transport (truck rental with drivers to shippers, who thus retain control over the organization of deliveries, within a limited geographical area), (ii) full truckload transport (the truck is chartered directly by shippers under contracts handled operation by operation), (iii) groupage transport (collection of products, possibly from several clients, in a defined geographical area, grouping and forwarding to recipients in the same region), and (iv) courier services (transport of shipments consisting of parcels of at least three tons, coming from different shippers and addressed to different recipients).</w:t>
      </w:r>
    </w:p>
    <w:p>
      <w:r>
        <w:t>20. Furthermore, specific markets have been identified for certain particular products. The decision-making practice has thus considered the existence of a market for road transport of temperature-controlled goods and for road transport of hazardous materials.</w:t>
      </w:r>
    </w:p>
    <w:p>
      <w:r>
        <w:t>21. It has also considered distinguishing between road transport of packaged goods and that of bulk goods.</w:t>
      </w:r>
    </w:p>
    <w:p>
      <w:r>
        <w:t>22. In this case, however, the question of the precise delimitation of the road freight transport market can be left open, as regardless of the assumption retained, the conclusions of the competitive analysis will remain unchanged.</w:t>
      </w:r>
    </w:p>
    <w:p>
      <w:r>
        <w:t>B. GEOGRAPHICAL MARKETS</w:t>
      </w:r>
    </w:p>
    <w:p>
      <w:r>
        <w:t>23. Regarding the geographical delimitation of the unaccompanied combined rail-road transport market, the Competition Authority favors an approach based on points of origin and destination, that is to say line by line, while leaving the question open as to a possible delimitation between domestic traffic on the one hand and cross-border traffic on the other. In this case, the question can be left open, the analysis remaining unchanged regardless of the assumption retained.</w:t>
      </w:r>
    </w:p>
    <w:p>
      <w:r>
        <w:t>24. Regarding combined transport terminal services, given the low substitutability between two terminals, national decision-making practice considers that each terminal should be regarded as a relevant market. There is no need to challenge this delimitation during the examination of the present operation.</w:t>
      </w:r>
    </w:p>
    <w:p>
      <w:r>
        <w:t>25. Regarding road freight transport, decision-making practice generally considers that the markets for road freight transport have a national dimension, despite a trend towards Europeanization. There is no need to challenge this delimitation during the examination of the present operation.</w:t>
      </w:r>
    </w:p>
    <w:p>
      <w:r>
        <w:t>III. Competitive Analysis</w:t>
      </w:r>
    </w:p>
    <w:p>
      <w:r>
        <w:t>26. The operation does not give rise to any overlap of activity between the parties; however, it allows GCA, a road carrier, to integrate the function of combined transport operator. Therefore, it is necessary to assess the potential effects of this vertical integration.</w:t>
      </w:r>
    </w:p>
    <w:p>
      <w:r>
        <w:t>27. Indeed, a vertical concentration can restrict competition by making access to the markets in which the new entity will be active more difficult, or even potentially excluding competitors or penalizing them by increasing their costs. This locking can target downstream markets when the integrated company refuses to sell an input to its downstream competitors (input market locking) or upstream markets when the downstream branch of the integrated company refuses to purchase products from upstream manufacturers, thereby reducing their commercial outlets (locking access to clientele). However, the decision-making practice of competition authorities generally dismisses the risks of locking when the share of the company resulting from the operation in the relevant markets does not exceed 30%.</w:t>
      </w:r>
    </w:p>
    <w:p>
      <w:r>
        <w:t>28. In this case, GCA, as a road carrier, is a customer of Novatrans in the TCRR markets and the services related to combined transport terminals.</w:t>
      </w:r>
    </w:p>
    <w:p>
      <w:r>
        <w:t>29. Nevertheless, even if GCA decided to no longer use the services of Novatrans's competing TCRR companies, their access to the clientele of road carriers would not be compromised, as GCA's position in the road transport market, regardless of the segmentations used, is well below 30%. Therefore, any risk of locking access to clientele can be dismissed.</w:t>
      </w:r>
    </w:p>
    <w:p>
      <w:r>
        <w:t>30. On the other hand, Novatrans represented, based on 201 traffic data, between 60% and 70% of the supply in the domestic TCRR market, excluding temperature-controlled goods. Even if, on the occasion of the present operation, a restructuring of Novatrans's transport plan includes the cessation of operations on certain lines, Novatrans should remain the market leader. Its main competitors are T3M (24%), Combiwest (4%), and to a lesser extent, Froidcombi (10%), the latter being more specialized in TCRR of temperature-controlled goods.</w:t>
      </w:r>
    </w:p>
    <w:p>
      <w:r>
        <w:t>31. It is therefore necessary to examine whether the operation may have the effect of depriving GCA's competing road carriers of access to Novatrans's services, or of disadvantaging them through discriminatory access conditions (input market locking). However, such a strategy would not be in GCA's interest.</w:t>
      </w:r>
    </w:p>
    <w:p>
      <w:r>
        <w:t>32. Indeed, Novatrans's activity relies on demand from road carriers, and GCA's position in the overall road freight transport market is around 1.25% market share. Before the operation, GCA represented only 4% of Novatrans's turnover. In this context, discriminatory treatment of GCA's competing road carriers would primarily compromise any return to profitability for Novatrans and impose unbearable losses on GCA.</w:t>
      </w:r>
    </w:p>
    <w:p>
      <w:r>
        <w:t>33. The majority of clients who responded to the market test conducted on the occasion of the operation also consider that an exclusion strategy is unlikely. Some believe that the reduction of Novatrans's transport plan is a factor that could strengthen competition. One client considers that given Novatrans's deteriorated financial situation, its acquisition by GCA is an opportunity to maintain an alternative to T3M, the only real competing TCRR operator, which is also vertically integrated with a road transport group.</w:t>
      </w:r>
    </w:p>
    <w:p>
      <w:r>
        <w:t>34. It emerges from the investigation that after the operation, the new entity will have no incentive to limit road carriers' access to Novatrans's TCRR service offerings. The analysis of the TCRR market line by line is not likely to change this conclusion.</w:t>
      </w:r>
    </w:p>
    <w:p>
      <w:r>
        <w:t>35. Regarding the market for combined transport terminal services, the same analysis can be transposed, as these services are closely linked to those of the TCRR service. It should be added that Novatrans, manager of eleven of the twenty existing combined transport terminals before the operation, will only operate seven after it, allowing for a potential strengthening of the development capacity of alternative operators.</w:t>
      </w:r>
    </w:p>
    <w:p>
      <w:r>
        <w:t>36. Regarding the cross-border TCRR market, Novatrans's position is less significant than in the domestic market, around 14% in value and 18% in volume, and any risk of locking can therefore be dismissed.</w:t>
      </w:r>
    </w:p>
    <w:p>
      <w:r>
        <w:t>37. Consequently, the operation is not likely to harm competition through vertical effects on the relevant markets.</w:t>
      </w:r>
    </w:p>
    <w:p>
      <w:r>
        <w:rPr>
          <w:b/>
        </w:rPr>
        <w:t>[Pages 7–9]</w:t>
      </w:r>
    </w:p>
    <w:p>
      <w:r>
        <w:t>IV. Accessory Restrictions</w:t>
      </w:r>
    </w:p>
    <w:p>
      <w:r>
        <w:t>38. The firm offer to acquire Novatrans shares made by GCA on September 24, 2012, and the transfer agreement signed on February 21, 2013, include certain implementation terms, which are not suspensive in nature. According to the terms of the transfer agreement, these prior commitments, involving both the buyer and the seller, must occur no later than the date of completion of the operation. Among these is an agreement between GCA and SNCF (Article 4.5 of the transfer agreement), under which the SNCF Group, through its Freight SNCF branch and/or its subsidiary VFLI, will exclusively provide Novatrans's railway traction needs for a period of five years, at a price whose evolution is determined by the parties within the framework of the agreement.</w:t>
      </w:r>
    </w:p>
    <w:p>
      <w:r>
        <w:t>39. The notifying party believes that this contract should be considered an accessory restriction to the operation on the grounds that "this contract and its duration are indeed directly linked and necessary for the realization of the operation since they are part of the prior commitments made by SNCF and constitute a sine qua non condition for GCA for the realization of the notified operation." It indicates that "this prerequisite is for GCA a necessary condition for the realization of the operation in view of the weight that the purchase of railway traction represents in the cost structure and pricing of Novatrans's TCRR services," and adds that "if the Authority were to consider that the railway traction contract concluded between Novatrans and SNCF, and notably its duration, imposed a restriction of competition, it should then recognize its accessory nature to the concentration."</w:t>
      </w:r>
    </w:p>
    <w:p>
      <w:r>
        <w:t>40. It is therefore necessary to examine whether this supply contract constitutes a restriction directly linked and necessary to the realization of the concentration.</w:t>
      </w:r>
    </w:p>
    <w:p>
      <w:r>
        <w:t>41. First, it should be noted that the European Commission's communication on accessory restrictions specifies that "the criteria of direct link and necessity are objective in nature. Restrictions are not directly linked and necessary to the realization of a concentration simply because the parties consider them as such." Thus, "it is not sufficient for an agreement to have been concluded in the same context or at the same time as the concentration operation, but they must relate, from an economic point of view, to the main transaction and aim to allow a smooth transition between the old structure of the business and the new one after the completion of the concentration operation."</w:t>
      </w:r>
    </w:p>
    <w:p>
      <w:r>
        <w:t>42. The signing of a supply contract may prove necessary to maintain the continuity of supply after the split of an old economic entity. In this regard, the Commission's communication specifies that "the transfer of a business or part of a business may, in many cases, lead to the disruption of the traditional purchasing and delivery relationships that previously existed due to the integration of activities within the seller's economic entity. To allow, under reasonable conditions, the splitting of the seller's economic entity and the partial transfer of assets to the buyer, it is often necessary to maintain existing links or establish similar links between the seller and the buyer for a transitional period. This objective is normally achieved by imposing purchasing and delivery obligations on the seller and/or the buyer of the business or part of the business. Given the particular situation resulting from the splitting of the seller's economic entity, such obligations may be recognized as directly linked and necessary to the realization of the concentration. They may benefit the seller or the buyer, depending on the specific circumstances of the case" (point 32).</w:t>
      </w:r>
    </w:p>
    <w:p>
      <w:r>
        <w:t>43. However, the Commission's communication specifies that "obligations, both of delivery and purchase, (...) providing for exclusivity or granting a privileged status to the supplier or the buyer are, on the other hand, not necessary for the realization of the concentration" (point 34). It adds that "the duration of the purchasing and delivery obligations must, however, be limited to the period necessary to replace the dependency relationship with an autonomous position in the market. Purchasing or delivery obligations intended to guarantee the quantities previously supplied may therefore be justified for a transitional period of up to five years" (point 33).</w:t>
      </w:r>
    </w:p>
    <w:p>
      <w:r>
        <w:t>44. In this case, the contract provides for an exclusivity of supply, for Novatrans's railway traction needs, in favor of SNCF. While the obligation for SNCF to provide traction services to Novatrans may be considered directly linked and necessary to the realization of the concentration, no exclusive supply obligation on GCA appears necessary to ensure the continuity of supply for Novatrans and thus objectively justified. In accordance with the commitments made by SNCF before the Competition Authority at the time of the acquisition of Novatrans in 2009, Novatrans's railway traction needs were met through competitive bidding among different traction operators. Thus, in 2010, 2011, and 2012, Euro Cargo Rail responded to and won lots in these calls for tenders, even though most lots were won by subsidiaries of SNCF. Novatrans could therefore diversify its supplies before the operation.</w:t>
      </w:r>
    </w:p>
    <w:p>
      <w:r>
        <w:t>45. GCA's argument that this agreement provides it with "visibility on the main cost element of the combined transport activity (rail traction) and guarantees it to fulfill all its obligations in terms of safety and reliability" does not imply the granting of an exclusivity clause in favor of SNCF.</w:t>
      </w:r>
    </w:p>
    <w:p>
      <w:r>
        <w:t>46. Consequently, and without the need to rule on the other elements of the agreement, this exclusive supply contract for traction services does not constitute a restriction directly linked and necessary to the realization of the present operation. The decision therefore does not preclude an examination of this agreement under Articles L.420-1 and L.420-2 of the Commercial Code.</w:t>
      </w:r>
    </w:p>
    <w:p>
      <w:r>
        <w:t>DECIDES</w:t>
      </w:r>
    </w:p>
    <w:p>
      <w:r>
        <w:t>Sole Article: The operation notified under number 12-217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