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https://www.autoritedelaconcurrence.fr/fr/decision-de-controle-des-concentrations/relative-la-prise-de-controle-exclusif-de-la-societe-85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13-DCC-39 of March 28, 2013  </w:t>
        <w:br/>
        <w:t xml:space="preserve">regarding the exclusive control acquisition of the company Mobipark SAS  </w:t>
        <w:br/>
        <w:t xml:space="preserve">by the company Intermediate Capital Group PLC  </w:t>
        <w:br/>
        <w:t xml:space="preserve">The Competition Authority,  </w:t>
        <w:br/>
        <w:t xml:space="preserve">Having regard to the complete notification file sent to the mergers department on March 4, 2013,  </w:t>
        <w:br/>
        <w:t xml:space="preserve">concerning the exclusive control acquisition of the company Mobipark SAS by the company Intermediate  </w:t>
        <w:br/>
        <w:t xml:space="preserve">Capital Group PLC, formalized by a conciliation protocol concluded on December 20, 2012  </w:t>
        <w:br/>
        <w:t xml:space="preserve">between the company Mobipark, its shareholders, and its lenders, among which is the company  </w:t>
        <w:br/>
        <w:t xml:space="preserve">Intermediate Capital Group PLC (hereinafter "ICG");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transmitted by the parties during the investigation;  </w:t>
        <w:br/>
        <w:t xml:space="preserve">Adopts the following decision:  </w:t>
        <w:br/>
        <w:t xml:space="preserve">1. The notified operation consists of the exclusive control acquisition by ICG, head of the ICG group active  </w:t>
        <w:br/>
        <w:t xml:space="preserve">in the private equity sector, of the company Mobipark, head of the Parkeon group active  </w:t>
        <w:br/>
        <w:t xml:space="preserve">in the manufacturing and marketing of equipment for parking lots, roadways, and public transport, as well as  </w:t>
        <w:br/>
        <w:t xml:space="preserve">the provision of services associated with this equipment. It constitutes a concentration operation within the meaning of Article  </w:t>
        <w:br/>
        <w:t xml:space="preserve">L. 430-1 of the Commercial Code. Given the turnover achieved by the companies concerned, the operation does not have a  </w:t>
        <w:br/>
        <w:t xml:space="preserve">community dimension. On the other hand, the control thresholds related to concentration operations mentioned in point I of Article L. 430-2 of  </w:t>
        <w:br/>
        <w:t xml:space="preserve">the Commercial Code are exceeded. This operation is therefore subject to the provisions of  </w:t>
        <w:br/>
        <w:t xml:space="preserve">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13-034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