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https://www.autoritedelaconcurrence.fr/fr/decision-de-controle-des-concentrations/relative-la-prise-de-controle-exclusif-de-la-societe-88</w:t>
      </w:r>
    </w:p>
    <w:p>
      <w:r>
        <w:t>Pages translated : 8</w:t>
      </w:r>
    </w:p>
    <w:p/>
    <w:p>
      <w:r>
        <w:rPr>
          <w:b/>
        </w:rPr>
        <w:t>[Pages 1–3]</w:t>
      </w:r>
    </w:p>
    <w:p>
      <w:r>
        <w:t>FRENCH REPUBLIC</w:t>
        <w:br/>
        <w:t>Decision No. 13-DCC-58 of May 22, 2013</w:t>
        <w:br/>
        <w:t>regarding the exclusive control of the company Constellium</w:t>
        <w:br/>
        <w:t>Extrusion France Saint Florentin and the assets of the company Constellium</w:t>
        <w:br/>
        <w:t>Extrusion France SAS by the company OpenGate Capital Groupe</w:t>
        <w:br/>
        <w:t>Europe SARL</w:t>
        <w:br/>
        <w:t>The Competition Authority,</w:t>
        <w:br/>
        <w:t>Having regard to the notification file submitted in full to the merger service on April 15, 2013,</w:t>
        <w:br/>
        <w:t>regarding the exclusive control of the company Constellium Extrusion France Saint</w:t>
        <w:br/>
        <w:t>Florentin and the assets of the company Constellium Extrusion France SAS by the company</w:t>
        <w:br/>
        <w:t>OpenGate Capital Groupe Europe SARL, formalized by an irrevocable purchase offer dated</w:t>
        <w:br/>
        <w:t>March 4, 2013;</w:t>
        <w:br/>
        <w:t>Having regard to Book IV of the Commercial Code relating to the freedom of prices and competition, and</w:t>
        <w:br/>
        <w:t>notably its Articles L. 430-1 to L. 430-7;</w:t>
        <w:br/>
        <w:t>Having regard to the supplementary elements transmitted by the parties during the investigation;</w:t>
        <w:br/>
        <w:t>Adopts the following decision:</w:t>
        <w:br/>
        <w:t>I. The concerned companies and the operation</w:t>
        <w:br/>
        <w:t>1. The company OpenGate Capital Groupe Europe (hereinafter "OpenGate Europe") is part of the</w:t>
        <w:br/>
        <w:t>American private investment group OpenGate Capital. It is owned, [confidential],</w:t>
        <w:br/>
        <w:t>holdings held 100% by a natural person. The OpenGate Capital group is engaged in</w:t>
        <w:br/>
        <w:t>acquiring stakes in companies, particularly during "carve out" operations. OpenGate Europe thus holds</w:t>
        <w:br/>
        <w:t>the companies Profialis SAS, Profialis NV, and Profialis KFT, active in the manufacture and marketing of PVC profiles for the building and construction sector.</w:t>
        <w:br/>
        <w:t>2. The company Constellium Extrusion France Saint Florentin is a 100% subsidiary of</w:t>
        <w:br/>
        <w:t>Constellium Extrusions France, itself a subsidiary of the Constellium Group through</w:t>
        <w:br/>
        <w:t>Constellium France Holdco and Constellium France. The Constellium Group is 51%</w:t>
        <w:br/>
        <w:t>owned by Apollo Management, 39% by Rio Tinto Alcan, and 10% by FSI. The company</w:t>
        <w:br/>
        <w:t>Constellium Extrusion France Saint Florentin and the business of Constellium</w:t>
        <w:br/>
        <w:t>Extrusions France are engaged in the operation of extrusion sites and aluminum profiles.</w:t>
        <w:br/>
        <w:t>3. The operation, formalized by an irrevocable purchase offer dated March 4, 2013, consists of</w:t>
        <w:br/>
        <w:t>the acquisition of all shares comprising the capital of Constellium Extrusion France</w:t>
        <w:br/>
        <w:t>Saint Florentin, as well as the assets of the company Constellium Extrusions France consisting of</w:t>
        <w:br/>
        <w:t>a business in the city of Ham in France whose purpose is the extrusion and finishing</w:t>
        <w:br/>
        <w:t>of aluminum profiles (hereinafter "the target perimeter"). The intention of the Constellium Group</w:t>
        <w:br/>
        <w:t>to accept this offer was the subject of a press release dated March 6, 2013.</w:t>
        <w:br/>
        <w:t>4. As it results in the exclusive control of the company Constellium Extrusion</w:t>
        <w:br/>
        <w:t>France Saint Florentin and the assets of the company Constellium Extrusion France SAS by the</w:t>
        <w:br/>
        <w:t>company OpenGate Europe, the notified operation constitutes a concentration operation within</w:t>
        <w:br/>
        <w:t>the meaning of Article L. 430-1 of the Commercial Code.</w:t>
        <w:br/>
        <w:t>5. The concerned companies together achieved a consolidated turnover excluding taxes on</w:t>
        <w:br/>
        <w:t>a global scale of more than 150 million euros in the last closed financial year (OpenGate Capital:</w:t>
        <w:br/>
        <w:t>[…] euros for the 2011 financial year; target perimeter: […] euros for the year 2011).</w:t>
        <w:br/>
        <w:t>Each of these companies achieved, in France, a turnover exceeding 50 million</w:t>
        <w:br/>
        <w:t>euros (OpenGate Capital: […] euros; target perimeter: […] euros). Given these</w:t>
        <w:br/>
        <w:t>turnover figures, the operation does not have a community dimension. On the other hand, the</w:t>
        <w:br/>
        <w:t>control thresholds mentioned in I of Article L. 430-2 of the Commercial Code are exceeded.</w:t>
        <w:br/>
        <w:t>This operation is therefore subject to the provisions of Articles L. 430-3 and following of the Commercial Code relating to economic concentration.</w:t>
        <w:br/>
        <w:t>II. Delimitation of the relevant markets</w:t>
        <w:br/>
        <w:t>A. PRODUCT MARKETS</w:t>
        <w:br/>
        <w:t>6. The companies Profialis SAS, Profialis NV, and Profialis KFT, as well as the target perimeter, are</w:t>
        <w:br/>
        <w:t>active in the sector of manufacturing and marketing profiles intended for construction.</w:t>
        <w:br/>
        <w:t>7. Extruded profiles are notably used in construction for the manufacture of</w:t>
        <w:br/>
        <w:t>doors and windows as well as for closure systems (shutters, blinds, shutter boxes). They can also serve for many other applications: (i) facade or roofing structures, (ii) formwork, scaffolding, and ladders, (iii) roofing finishes, exterior cladding, (iv) gates and fences, (v) hardware and building locksmithing, (vi) pool shelters, (vii) shower cabins, (viii) outdoor blinds.</w:t>
        <w:br/>
        <w:t>8. Profiles can be made of wood, aluminum, or PVC.</w:t>
        <w:br/>
        <w:t>9. They can be marketed to carpenters, who use the profiles to assemble</w:t>
        <w:br/>
        <w:t>finished products, or to manufacturers of doors and windows.</w:t>
        <w:br/>
        <w:t>10. The delimitation of the relevant markets concerned by the operation can therefore be considered based on the type of material used, the applications of the profiles, or the type of clientele.</w:t>
      </w:r>
    </w:p>
    <w:p>
      <w:r>
        <w:t>1. SEGMENTATION ACCORDING TO THE TYPE OF MATERIAL</w:t>
        <w:br/>
        <w:t>11. The Profialis companies specialize in the extrusion of PVC profiles, and the target perimeter only manufactures aluminum profiles.</w:t>
        <w:br/>
        <w:t>12. The national1 and European2 competition authorities, without definitively deciding on the definition of the relevant market, have examined the markets for the extrusion of profiles for the manufacture of different elements by considering a segmentation according to the materials used (PVC, aluminum, or wood), particularly due to the specialization of manufacturers, differences in manufacturing processes and tools, as well as restrictions on the interchangeability of these materials depending on local particularities or aesthetic criteria. However, the question has been left open.</w:t>
        <w:br/>
        <w:t>13. The parties consider that it is appropriate to segment each of the product markets based on the material used, as aluminum and PVC are two materials with very different characteristics. They also note that there are practically no operators that offer both the extrusion of PVC and aluminum profiles.</w:t>
        <w:br/>
        <w:t>2. SEGMENTATION ACCORDING TO APPLICATIONS</w:t>
        <w:br/>
        <w:t>14. Regarding the applications for which the profiles can be used, both parties primarily engage in the extrusion of profiles for the manufacture of doors and windows as well as closures. For the rest, their activities only overlap concerning profiles intended for gates and fences.</w:t>
        <w:br/>
        <w:t>15. The decisional practice3 has examined separately the markets for the extrusion of profiles for the manufacture of PVC doors and windows and that for the extrusion of profiles for the manufacture of PVC closures.</w:t>
        <w:br/>
        <w:t>16. However, regarding closures, the national decisional practice4 has considered that the development, production, and manufacturing of closures are closely linked to those of the profiles, due to the necessary adaptation of shutters to the specifications of windows. Similarly, it was noted on this occasion that to be profitable, the sale of closures must reach a critical volume that is easier to obtain if the operator is already present in the profiles market. Thus, most closure manufacturers are primarily profile manufacturers. The notifying party confirms that a large part of the profile extruders for doors and windows is also able to provide profiles for closures.</w:t>
        <w:br/>
        <w:t>17. Furthermore, the Commission has recognized the existence of a market for soft alloy aluminum extrusion regardless of the applications of the parts thus manufactured5, noting the existence of a strong capacity of aluminum extruders to switch from one application to another in very short timeframes.</w:t>
        <w:br/>
        <w:t>1 Letter from the Minister of Economy, Finance and Industry dated May 28, 2003, to the counsel of the company Deceuninck, cited above.</w:t>
        <w:br/>
        <w:t>2 Commission Decision No. COMP/M.2094 HT-Troplast/Kömmerling.</w:t>
        <w:br/>
        <w:t>3 Letter from the Minister of Economy, Finance and Industry dated May 28, 2003, to the counsel of the company Deceuninck regarding a concentration in the sector of the sale of PVC profiles for windows, doors, closures, and verandas.</w:t>
        <w:br/>
        <w:t>4 Letter from the aforementioned Minister.</w:t>
        <w:br/>
        <w:t>5 European Commission Decision, COMP/M.4518 of April 19, 2007, Alcoa/Orkia/Soft alloy extrusion.</w:t>
      </w:r>
    </w:p>
    <w:p>
      <w:r>
        <w:rPr>
          <w:b/>
        </w:rPr>
        <w:t>[Pages 4–6]</w:t>
      </w:r>
    </w:p>
    <w:p>
      <w:r>
        <w:t>et leur portée géographique sont proportionnés aux intérêts légitimes de l'acquéreur.</w:t>
      </w:r>
    </w:p>
    <w:p>
      <w:r>
        <w:t>46. En l'espèce, la durée de trois ans de l'obligation de non-concurrence à l'égard de Constellium Extrusion France est considérée comme raisonnable, compte tenu de la nature des activités de l'entreprise et de la nécessité pour l'acquéreur de protéger son investissement.</w:t>
      </w:r>
    </w:p>
    <w:p>
      <w:r>
        <w:t>47. En revanche, la durée de deux ans de l'obligation de non-sollicitation est jugée excessive, car elle pourrait restreindre indûment la capacité de Constellium Extrusion France à exercer ses activités sur le marché après la cession.</w:t>
      </w:r>
    </w:p>
    <w:p>
      <w:r>
        <w:t>48. Par conséquent, il est recommandé que la durée de l'obligation de non-sollicitation soit réduite à un an pour être proportionnée aux intérêts légitimes de l'acquéreur.</w:t>
      </w:r>
    </w:p>
    <w:p>
      <w:r>
        <w:t>B. OBLIGATIONS À LA CHARGE DE L'ACQUÉREUR</w:t>
      </w:r>
    </w:p>
    <w:p>
      <w:r>
        <w:t>49. Les articles 7.5 et 7.6 du projet de contrat d’acquisition d’actions et d’actifs annexé à l’offre prévoient également une obligation de non-concurrence et de non-sollicitation à la charge de l’acquéreur, pour une durée de respectivement trois ans et deux ans à compter de la réalisation de la transaction.</w:t>
      </w:r>
    </w:p>
    <w:p>
      <w:r>
        <w:t>50. Ces obligations sont justifiées par la nécessité pour le vendeur de protéger ses intérêts commerciaux et de garantir que l’acquéreur ne détourne pas la clientèle ou les ressources de l'entreprise vendue.</w:t>
      </w:r>
    </w:p>
    <w:p>
      <w:r>
        <w:t>51. Toutefois, il est essentiel que ces obligations soient également proportionnées et ne dépassent pas ce qui est nécessaire pour protéger les intérêts légitimes du vendeur.</w:t>
      </w:r>
    </w:p>
    <w:p>
      <w:r>
        <w:t>52. En l'espèce, la durée de trois ans de l'obligation de non-concurrence à l'égard de l'acquéreur est considérée comme raisonnable, tandis que la durée de deux ans de l'obligation de non-sollicitation pourrait être revue à la baisse pour éviter des restrictions excessives sur la capacité de l'acquéreur à développer ses activités.</w:t>
      </w:r>
    </w:p>
    <w:p>
      <w:r>
        <w:t>53. En conclusion, les obligations de non-concurrence et de non-sollicitation doivent être équilibrées pour respecter les intérêts légitimes des deux parties tout en permettant une concurrence effective sur le marché.</w:t>
      </w:r>
    </w:p>
    <w:p>
      <w:r>
        <w:rPr>
          <w:b/>
        </w:rPr>
        <w:t>[Pages 7–8]</w:t>
      </w:r>
    </w:p>
    <w:p>
      <w:r>
        <w:t>territorial and their material and personal scope does not exceed what is reasonably necessary for this purpose.</w:t>
      </w:r>
    </w:p>
    <w:p>
      <w:r>
        <w:t>46. Furthermore, the limitation on the seller's right to purchase or hold shares in a company that competes with the divested activity cannot be considered as directly related and necessary to the realization of the concentration if it prevents the seller from purchasing or holding these shares solely for investment purposes, without conferring upon them, directly or indirectly, management functions or substantial influence in the competing company.</w:t>
      </w:r>
    </w:p>
    <w:p>
      <w:r>
        <w:t>47. In this case, the non-competition clause stipulated in the transfer agreement constitutes a restriction that is directly related and necessary only within the limit of a duration of 3 years and to the extent that it does not limit the possibility of the seller to purchase or hold shares in competing companies of the new entity for investment purposes, within the limits set out in the previous paragraph of this decision.</w:t>
      </w:r>
    </w:p>
    <w:p>
      <w:r>
        <w:t>B. OBLIGATIONS OF THE ACQUIRER</w:t>
      </w:r>
    </w:p>
    <w:p>
      <w:r>
        <w:t>48. Articles 8.5 and 8.6 of the draft acquisition agreement for shares and assets attached to the notification provide for a commitment from the acquirer not to pursue the development, by the target perimeter, of new activities for the supply of profiles or components for the automotive industry in France and Germany, for a duration of two years. This clause is accompanied by a non-poaching clause in favor of the target perimeter for personnel from the Constellium Group dedicated to this activity for 18 months.</w:t>
      </w:r>
    </w:p>
    <w:p>
      <w:r>
        <w:t>49. The notifying party explains that the operation aims in particular to allow the seller to refocus its activity on the automotive sector. However, the site in Saint-Florentin, which is part of the target perimeter, has a residual activity of producing parts for the automotive sector, which the Constellium group wishes to transfer to one of the production sites over which it will retain control after the operation. For operational reasons, this transfer can only take place gradually. It will therefore be organized within the framework of agreements formalizing a transitional supply relationship between the Saint-Florentin site and the repurchase by the Constellium group of the molds and tools specific to the production of the concerned parts. Given this situation, and the fact that the know-how and part of the personnel responsible for this activity will remain at the Saint-Florentin factory, the non-competition and non-poaching clauses aim to prevent the risk of diversion of this business towards the seller's clients.</w:t>
      </w:r>
    </w:p>
    <w:p>
      <w:r>
        <w:t>50. However, the Commission's communication on ancillary restrictions states that "as a general rule, either the restrictions in favor of the seller are simply not directly related and necessary to the realization of the concentration, or they must have a more limited scope and/or duration than those of the clauses in favor of the acquirer" (point 17).</w:t>
      </w:r>
    </w:p>
    <w:p>
      <w:r>
        <w:t>51. In this case, the clauses in question, which concern only the divested assets and not the other activities of OpenGate Europe, are of limited duration (two years for the non-competition clause and 18 months for the non-poaching clause). The extension of the obligations on the acquirer to the German territory is further justified by the fact that the main client of the Saint-Florentin site's activity intended for the automotive industry is Jaguar, which is located in Germany.</w:t>
      </w:r>
    </w:p>
    <w:p>
      <w:r>
        <w:t>52. Therefore, the clauses mentioned above constitute a restriction that is directly related and necessary provided that they do not limit the possibility for the acquirer to purchase or hold shares in competing companies of the new entity for investment purposes, within the limits set out in paragraph 46 of this decision.</w:t>
      </w:r>
    </w:p>
    <w:p>
      <w:r>
        <w:t>DECIDES</w:t>
      </w:r>
    </w:p>
    <w:p>
      <w:r>
        <w:t>Sole Article: The operation notified under number 13-051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