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https://www.autoritedelaconcurrence.fr/fr/decision-de-controle-des-concentrations/relative-la-prise-de-controle-exclusif-de-la-societe-89</w:t>
      </w:r>
    </w:p>
    <w:p>
      <w:r>
        <w:t>Pages translated : 5</w:t>
      </w:r>
    </w:p>
    <w:p/>
    <w:p>
      <w:r>
        <w:rPr>
          <w:b/>
        </w:rPr>
        <w:t>[Pages 1–3]</w:t>
      </w:r>
    </w:p>
    <w:p>
      <w:r>
        <w:t xml:space="preserve">FRENCH REPUBLIC  </w:t>
        <w:br/>
        <w:t xml:space="preserve">Decision No. 13-DCC-88 of July 23, 2013  </w:t>
        <w:br/>
        <w:t xml:space="preserve">regarding the exclusive control of Carrard Services  </w:t>
        <w:br/>
        <w:t>by TFN Propreté</w:t>
      </w:r>
    </w:p>
    <w:p>
      <w:r>
        <w:t xml:space="preserve">The Competition Authority,  </w:t>
        <w:br/>
        <w:t xml:space="preserve">Having regard to the notification file, submitted to the merger service on May 29, 2013, and declared complete on June 19, 2013, regarding the acquisition of control of Carrard Services by TFN Propreté, carried out under [confidential];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A. THE CONCERNED COMPANIES  </w:t>
        <w:br/>
        <w:t xml:space="preserve">1. TFN Propreté is a subsidiary of the Atalian group whose parent company, EAB Finances, is exclusively controlled by Mr. [X]. The Atalian group is active in the industrial cleaning sector and more generally in services related to buildings and general services (cleaning, facility management, security, construction, green spaces).  </w:t>
        <w:br/>
        <w:t xml:space="preserve">2. Carrard Services is a subsidiary of the Vebego group. It is active in the industrial cleaning sector and in the so-called special works sector, which includes services related either to industrial cleaning or to finishing works in the building sector (notably concerning cladding or various supply networks).  </w:t>
        <w:br/>
        <w:t>3. The operation, which was carried out under [confidential], consists of the acquisition by TFN Propreté of all the capital and voting rights of Carrard Services. Insofar as it results in the exclusive control of Carrard Services by TFN Propreté, the operation constitutes a concentration within the meaning of Article L. 430-1 of the Commercial Code.</w:t>
      </w:r>
    </w:p>
    <w:p>
      <w:r>
        <w:t>4. The concerned companies together achieve a total worldwide turnover of more than 150 million euros (Atalian group: 1.17 billion euros for the fiscal year ending August 31, 2012; Carrard Services: 93 million euros for the fiscal year ending December 31, 2012). Each of these two companies achieves a turnover in France exceeding 50 million euros (Atalian group: 1.04 billion euros for the fiscal year ending August 31, 2012; Carrard Services: 93 million euros for the fiscal year ending December 31, 2012). Given these turnovers,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The Atalian group and Carrard Services are simultaneously present in the industrial cleaning and finishing works sectors in the building sector.  </w:t>
        <w:br/>
        <w:t xml:space="preserve">A. THE INDUSTRIAL CLEANING MARKETS  </w:t>
        <w:br/>
        <w:t xml:space="preserve">1. THE SERVICE MARKETS  </w:t>
        <w:br/>
        <w:t xml:space="preserve">6. Decision-making practice considers that industrial cleaning services should be distinguished from other services to businesses. These services include "industrial cleaning services for all types of businesses (industrial, tertiary) and for all types of surfaces to be cleaned (premises, factories, etc.)".  </w:t>
        <w:br/>
        <w:t xml:space="preserve">7. Decision-making practice has considered making a distinction within the industrial cleaning market between cleaning services for "professional premises for administrative or commercial purposes" ("classic cleaning") and those "consisting of cleaning industrial facilities, production tools, machines, and tanks" ("technical or specific cleaning"). However, the question of the existence of such a distinction has been left open.  </w:t>
        <w:br/>
        <w:t>8. Within technical cleaning services, decision-making practice has identified a potential distinct market for cleaning in a hospital environment (hospital services consist of cleaning operating rooms, medicalized rooms, instruments, and machines), due to the specific requirements of this sector, particularly in terms of hygiene, personnel qualification, and necessary equipment.</w:t>
      </w:r>
    </w:p>
    <w:p>
      <w:r>
        <w:t xml:space="preserve">9. In the present case, the question of the exact definition of industrial cleaning markets can be left open insofar as, regardless of the definition adopted, the conclusions of the competitive analysis remain unchanged.  </w:t>
        <w:br/>
        <w:t xml:space="preserve">2. THE GEOGRAPHIC MARKETS  </w:t>
        <w:br/>
        <w:t xml:space="preserve">10. Decision-making practice considers that industrial cleaning markets are at most of national dimension and more likely of local dimension. The department or region has previously been used for conducting local analyses, with the exception of the Île-de-France region, which has been examined as a specific relevant geographic market.  </w:t>
        <w:br/>
        <w:t xml:space="preserve">11. In the present case, the question of the exact delimitation of the markets can be left open insofar as, regardless of the delimitation adopted, the conclusions of the competitive analysis will remain unchanged. The competitive analysis will be conducted at the national level, at the departmental level, and in the Île-de-France region.  </w:t>
        <w:br/>
        <w:t xml:space="preserve">B. THE FINISHING WORKS MARKETS IN THE BUILDING SECTOR  </w:t>
        <w:br/>
        <w:t xml:space="preserve">1. THE PRODUCT AND SERVICE MARKETS  </w:t>
        <w:br/>
        <w:t xml:space="preserve">12. Among the works related to buildings, decision-making practice distinguishes between structural works, which concern the structure of the building (notably foundations, walls, roofing) and finishing works, which concern the cladding and equipment of the building structure (notably various supply networks, insulation).  </w:t>
        <w:br/>
        <w:t xml:space="preserve">13. Decision-making practice considers segmentations of the finishing works market based on (i) the type of clientele (professionals or individuals), (ii) the use of the building (residential or non-residential buildings), or even (iii) the trade (painting, plastering, carpentry, ceiling construction, partitions).  </w:t>
        <w:br/>
        <w:t xml:space="preserve">14. In the present case, the question of the exact definition of finishing works markets can be left open insofar as the conclusions of the competitive analysis will remain unchanged.  </w:t>
        <w:br/>
        <w:t xml:space="preserve">2. THE GEOGRAPHIC MARKETS  </w:t>
        <w:br/>
        <w:t>15. Community and national decision-making practice considers that the markets for works related to buildings can have a national dimension. Decision-making practice</w:t>
      </w:r>
    </w:p>
    <w:p>
      <w:r>
        <w:rPr>
          <w:b/>
        </w:rPr>
        <w:t>[Pages 4–5]</w:t>
      </w:r>
    </w:p>
    <w:p>
      <w:r>
        <w:t>national8 also considered, in the specific case of finishing works, regional markets due to the significant number of local actors.</w:t>
      </w:r>
    </w:p>
    <w:p>
      <w:r>
        <w:t>16. In the present case, the question of the exact market delineation can be left open insofar as, regardless of the delineation adopted, the conclusions of the competitive analysis will remain unchanged. The analysis will be conducted at the national level and at the level of the Ile-de-France region, the only region where the activities of the parties to the transaction overlap.</w:t>
      </w:r>
    </w:p>
    <w:p>
      <w:r>
        <w:t>III. Competitive Analysis</w:t>
      </w:r>
    </w:p>
    <w:p>
      <w:r>
        <w:t>17. The transaction results in overlapping activities between the parties in the industrial cleaning markets and in the finishing works markets in the building sector, on which it is appropriate to conduct an analysis of horizontal effects.</w:t>
      </w:r>
    </w:p>
    <w:p>
      <w:r>
        <w:t>A. INDUSTRIAL CLEANING MARKETS</w:t>
      </w:r>
    </w:p>
    <w:p>
      <w:r>
        <w:t>18. The activities of the parties overlap in the industrial cleaning market, as well as in the segments of conventional cleaning, technical cleaning, and hospital technical cleaning.</w:t>
      </w:r>
    </w:p>
    <w:p>
      <w:r>
        <w:t>19. At the national level, the combined market share of the parties in the industrial cleaning markets will be less than [10-20]% and the increment less than [0-5]%, regardless of the market segmentation adopted. Furthermore, in these markets, the parties will face competition from numerous competitors such as ONET (which represents [5-10]% of the industrial cleaning market), ISS ([5-10]% of the industrial cleaning market), GSF ([0-5]% of the industrial cleaning market), and Elior (which represents [10-20]% of the sub-segment of the market for technical cleaning in hospital settings).</w:t>
      </w:r>
    </w:p>
    <w:p>
      <w:r>
        <w:t>20. At the local level, in the 60 departments and in the Île-de-France region, where the Atalian group and Carrard Services are simultaneously present, the combined market share of the parties will not exceed [10-20]%, regardless of the segment concerned in the industrial cleaning markets (conventional, technical, or in hospital settings). Among the aforementioned competitors, ONET, ISS, and GSF are also present in all of these departments.</w:t>
      </w:r>
    </w:p>
    <w:p>
      <w:r>
        <w:t>21. The transaction is therefore not likely to harm competition in the industrial cleaning services markets.</w:t>
      </w:r>
    </w:p>
    <w:p>
      <w:r>
        <w:t>B. FINISHING WORKS MARKETS IN THE BUILDING SECTOR</w:t>
      </w:r>
    </w:p>
    <w:p>
      <w:r>
        <w:t>22. At the national level, in the market for finishing works in the building sector, Carrard Services and the Atalian group hold a combined market share of less than [0-5]%. In markets segmented by (i) type of clientele, (ii) use of the building, or (iii) type of trade, the combined market share of the parties is less than [0-5]%, regardless of the segmentation adopted. Furthermore, in these markets, the parties will face competition from groups such as Vinci, Bouygues, or Eiffage, as well as numerous local competitors.</w:t>
      </w:r>
    </w:p>
    <w:p>
      <w:r>
        <w:t>23. At the local level, the combined market share of the parties in the finishing works market in the Île-de-France region, the only region where the activities of the parties overlap, is less than [0-5]%. In markets segmented by (i) type of clientele, (ii) use of the building, or (iii) type of trade, the combined market share of the parties is less than [0-5]%, regardless of the segmentation adopted.</w:t>
      </w:r>
    </w:p>
    <w:p>
      <w:r>
        <w:t>24. The transaction is therefore not likely to harm competition in the finishing works markets in the building sector.</w:t>
      </w:r>
    </w:p>
    <w:p>
      <w:r>
        <w:t>DECIDES</w:t>
      </w:r>
    </w:p>
    <w:p>
      <w:r>
        <w:t>Sole Article: The transaction notified under number 13-056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