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w:t>
      </w:r>
    </w:p>
    <w:p>
      <w:r>
        <w:t>Pages translated : 3</w:t>
      </w:r>
    </w:p>
    <w:p/>
    <w:p>
      <w:r>
        <w:rPr>
          <w:b/>
        </w:rPr>
        <w:t>[Pages 1–3]</w:t>
      </w:r>
    </w:p>
    <w:p>
      <w:r>
        <w:t xml:space="preserve">FRENCH REPUBLIC  </w:t>
        <w:br/>
        <w:t xml:space="preserve">Decision No. 10-DCC-150 of October 28, 2010  </w:t>
        <w:br/>
        <w:t xml:space="preserve">regarding the exclusive control of Leasecom Group  </w:t>
        <w:br/>
        <w:t xml:space="preserve">by Crédit Mutuel Arkéa  </w:t>
        <w:br/>
        <w:t xml:space="preserve">The Competition Authority,  </w:t>
        <w:br/>
        <w:t xml:space="preserve">Having regard to the notification file submitted in full to the merger service on October 8, 2010,  </w:t>
        <w:br/>
        <w:t xml:space="preserve">regarding the acquisition by Crédit Mutuel Arkéa of Leasecom Group,  </w:t>
        <w:br/>
        <w:t xml:space="preserve">formalized by an offer from Crédit Mutuel Arkéa dated September 17, 2010;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Arkéa group brings together the Crédit Mutuel Federations of Brittany, the South West, and the Central Massif around Crédit Mutuel Arkéa (formerly the Inter-Federal Fund of Crédit Mutuel), controlled by the three aforementioned federations. Crédit Mutuel Arkéa (hereinafter "Arkéa") controls around twenty subsidiaries whose activities cover all areas of banking, finance, insurance, and real estate.  </w:t>
        <w:br/>
        <w:t xml:space="preserve">2. Leasecom Group (hereinafter "Leasecom") is active in the sector of leasing without purchase option for computer and electronic equipment and, as an ancillary activity, long-term vehicle leasing. Leasecom is 45% owned by ACP (a Cypriot company held by an English investment fund, ACP Capital Limited), 34% by Mr. Laurent Desplaces through the company Sofimar, and 8.5% by Mr. Gilles Debeunne, directly and through the company Safran. The remainder of Leasecom's capital is held by minority shareholders. Leasecom wholly owns three subsidiaries: Leasecom, Leasecom Car, and Leasecom Financial Assets.  </w:t>
        <w:br/>
        <w:t xml:space="preserve">3. Following the operation, under the draft transfer protocol as well as the draft new statutes and shareholders' agreement of Leasecom, Arkéa will hold 95% of Leasecom's shares, with the remainder of the capital held by Sofimar at 3.5% and by Safran at 1.5%. Under the purchase and sale promises stipulated in the draft shareholders' agreement, Arkéa will be able to acquire, between 2015 and 2016, the 5% of Leasecom's capital held by Sofimar and Safran.  </w:t>
        <w:br/>
        <w:t xml:space="preserve">4. As it results in the exclusive control of Leasecom by Arkéa, the notified operation constitutes a concentration within the meaning of Article L. 430-1 of the Commercial Code.  </w:t>
        <w:br/>
        <w:t xml:space="preserve">5. The companies concerned together achieve a total worldwide turnover of more than 150 million euros (Arkéa: 1.347 billion euros in 2009; Leasecom: 158 million euros). Each achieves, in France, a turnover exceeding 50 million euros (Arkéa: 1.339 billion euros, Leasecom: 155 million euros). Given these turnover figures, this operation does not have a community dimension. However, the thresholds mentioned in I of Article L. 430-2 of the Commercial Code are exceeded. The present operation is therefore subject to the provisions of Article L. 430-3 and following of the Commercial Code relating to economic concentration.  </w:t>
        <w:br/>
        <w:t xml:space="preserve">II. Competitive analysis  </w:t>
        <w:br/>
        <w:t xml:space="preserve">6. Leasecom is active in the sector of leasing without purchase option (or financial leasing) for computer and electronic equipment and, as an ancillary activity, long-term vehicle leasing.  </w:t>
        <w:br/>
        <w:t xml:space="preserve">7. Previous decision-making practice has considered that it was possible to segment the leasing services of movable assets for businesses based on the leasing modalities offered such as leasing, financial leasing, long-term vehicle leasing, but ultimately left the precise delineation of the relevant markets open. It also considered a distinction based on the categories of assets covered by these services, the categories of clients, or the different sectors of activity of the clients, but did not resolve this issue either.  </w:t>
        <w:br/>
        <w:t xml:space="preserve">8. To date, Arkéa is not present, directly or indirectly, in the sector of leasing movable assets for businesses. It can simply be noted that it has recently decided to develop a furniture leasing activity, including financial leasing, and that it obtained, on September 20, 2010, an extension of approval from the Prudential Control Authority.  </w:t>
        <w:br/>
        <w:t xml:space="preserve">9. However, given the size and number of competitors present in the market for leasing movable assets for businesses and its possible segmentations as well as Leasecom's limited market shares (below 6% regardless of the segmentations retained), the present operation is not likely to harm competition.  </w:t>
        <w:br/>
        <w:t xml:space="preserve">DECIDES  </w:t>
        <w:br/>
        <w:t xml:space="preserve">Single Article: The operation notified under number 10-0171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