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https://www.autoritedelaconcurrence.fr/fr/decision-de-controle-des-concentrations/relative-la-prise-de-controle-exclusif-de-la-societe-91</w:t>
      </w:r>
    </w:p>
    <w:p>
      <w:r>
        <w:t>Pages translated : 4</w:t>
      </w:r>
    </w:p>
    <w:p/>
    <w:p>
      <w:r>
        <w:rPr>
          <w:b/>
        </w:rPr>
        <w:t>[Pages 1–3]</w:t>
      </w:r>
    </w:p>
    <w:p>
      <w:r>
        <w:t xml:space="preserve">FRENCH REPUBLIC  </w:t>
        <w:br/>
        <w:t xml:space="preserve">Decision No. 13-DCC-95 of July 22, 2013  </w:t>
        <w:br/>
        <w:t xml:space="preserve">regarding the exclusive control of Printemps Holding Luxembourg SARL by Divine Investments S.A.  </w:t>
        <w:br/>
        <w:t xml:space="preserve">The Competition Authority,  </w:t>
        <w:br/>
        <w:t xml:space="preserve">Having regard to the notification file submitted in full to the merger service on June 17, 2013, regarding the exclusive control of Printemps Holding Luxembourg SARL by Divine Investments S.A. formalized by a share purchase agreement dated June 13, 2013;  </w:t>
        <w:br/>
        <w:t xml:space="preserve">Having regard to Book IV of the Commercial Code relating to price freedom and competition, and in particular Articles L. 430-1 to L. 430-7;  </w:t>
        <w:br/>
        <w:t xml:space="preserve">Having regard to the supplementary elements transmitted by the parties during the investigation;  </w:t>
        <w:br/>
        <w:t xml:space="preserve">Adopts the following decision:  </w:t>
        <w:br/>
        <w:t xml:space="preserve">I. The concerned companies and the transaction  </w:t>
        <w:br/>
        <w:t xml:space="preserve">1. Divine Investments S.A. (hereinafter "DISA") is an investment vehicle created in accordance with Luxembourg law for the needs of the transaction. DISA is 100% owned by Lys Holding I SARL, which is itself 100% owned by Mr. [X], of Qatari nationality (hereinafter "the Acquirer"). The Acquirer is the sole or majority shareholder of a number of holding companies that own real estate assets in France. He also exercises indirect control over the fashion house Valentino, which is present in the luxury goods manufacturing sector and also operates 6 retail boutiques in France.  </w:t>
        <w:br/>
        <w:t xml:space="preserve">2. Printemps Holding Luxembourg SARL (hereinafter "PHL") is the parent holding company of the Printemps group, active in the non-food general distribution sector, which primarily markets fashion products and accessories, beauty products, and home products through 19 stores in France under the "Printemps" brand. The Printemps group is also present in the distribution of "sportswear" products through its subsidiary Profida in stores under the Citadium brand (2 points of sale) and Made In Sport (10 points of sale). Through its subsidiaries Printemps Logistique SA and Printemps.com SA, the Printemps group is also active in logistics and online sales of products marketed by the group's physical retail outlets.  </w:t>
        <w:br/>
        <w:t xml:space="preserve">3. The transaction, formalized by a share purchase agreement dated June 13, 2013, involves the indirect acquisition by DISA of 100% of the share capital of PHL. As it results in the exclusive control of PHL by DISA, the transaction constitutes a concentration operation within the meaning of Article L. 430-1 of the Commercial Code.  </w:t>
        <w:br/>
        <w:t xml:space="preserve">4. The companies concerned together achieve a total worldwide turnover of more than 150 million euros (The Acquirer: [...] euros for 2012; Printemps Group: [...] euros). At least two of these companies achieve a turnover in France exceeding 50 million euros (The Acquirer: [...] euros; Printemps Group: the turnover mentioned above is entirely realized in France). Given these turnover figures, the transaction does not have a community dimension. However, the control thresholds mentioned in I of Article L. 430-2 of the Commercial Code are exceeded. This transaction is therefore subject to the provisions of Articles L. 430-3 and following of the Commercial Code relating to economic concentration.  </w:t>
        <w:br/>
        <w:t xml:space="preserve">II. Delimitation of relevant markets  </w:t>
        <w:br/>
        <w:t xml:space="preserve">5. The parties are simultaneously present in the non-food retail markets. The Acquirer, through Valentino, is also present in the wholesale manufacturing and marketing markets of luxury goods. However, given its very marginal position in this market, which is likely to exclude any competition issues regarding vertical effects, this market will not be subject to specific competitive analysis.  </w:t>
        <w:br/>
        <w:t xml:space="preserve">A. PRODUCT MARKETS  </w:t>
        <w:br/>
        <w:t xml:space="preserve">6. Both national and community decision-making practice distinguishes between food retail and non-food retail. In this case, the parties are only present in the non-food retail distribution sector, Printemps through its department store network and the Citadium and Made in Sport brands, and the Acquirer through Valentino Fashion Group, which markets Valentino and Missoni branded products within the stores it owns.  </w:t>
        <w:br/>
        <w:t xml:space="preserve">7. Department stores are classified by INSEE as non-specialized retail businesses. They offer, on large sales areas, almost all consumer goods in specialized departments continuously staffed by one or more salespeople. However, they prioritize personal and household equipment and offer products that are mid-range or high-end, which belong to major brands. Their location is traditionally in city centers, but they are also present in certain shopping centers. The Minister of Economy, in a Galeries Lafayette/Marks and Spencer decision of 2001, had on this basis identified a relevant market of department stores consisting of retail businesses in non-specialized stores with a sales area exceeding 2,500 m².  </w:t>
        <w:br/>
        <w:t xml:space="preserve">8. Other competition authorities, however, have considered that department stores were in competition with all specialized stores offering similar products (clothing, shoes, perfumery, home equipment, etc.).  </w:t>
        <w:br/>
        <w:t xml:space="preserve">9. It is not necessary, however, in the present case, to decide on the relevant product market(s) on which the Printemps group department stores operate, as regardless of the delineation chosen, the conclusions of the competitive analysis will remain unchanged.  </w:t>
        <w:br/>
        <w:t xml:space="preserve">10. Regarding the markets for the retail sale of clothing on which the parties are, in any case, simultaneously active through the Citadium and Made in Sport brands for the Printemps group, and Valentino for the Acquirer, decision-making practice distinguishes (i) by gender (men, women, children) (ii) by distribution channel (specialized store, GSS, GSA) and (iii) by range (low, medium, high-end). It has also distinguished a market for the retail distribution of cosmetic and perfumery products as well as a market for the retail distribution of fashion accessories. Furthermore, decision-making practice has considered a distinction between in-store sales and distance sales, all distance sales channels combined. The parties are simultaneously active in the markets for in-store sales (i) of high-end ready-to-wear, (ii) of fashion accessories, (iii) of high-end cosmetics and perfumery.  </w:t>
        <w:br/>
        <w:t xml:space="preserve">11. In this case, the question of the exact delimitation of the markets can be left open as regardless of the delimitation chosen, the conclusions of the competitive analysis will remain unchanged.  </w:t>
        <w:br/>
        <w:t xml:space="preserve">B. GEOGRAPHICAL MARKETS  </w:t>
        <w:br/>
        <w:t xml:space="preserve">12. Decision-making practice has, on several occasions, retained a local delimitation for specialized retail markets and conducted an analysis based on catchment areas of 20 minutes by car around each store.  </w:t>
        <w:br/>
        <w:t xml:space="preserve">13. Regarding a potential market for department stores, the Minister, in the 2001 decision, considered that, given the specificity of their offer, their catchment area could not be limited to one or a few neighborhoods of the cities where they are located but extended to the entire city.  </w:t>
        <w:br/>
        <w:t>14. In any case, it is not necessary, in the absence of competition issues in the present case, to specify the geographical dimension of the relevant markets.</w:t>
      </w:r>
    </w:p>
    <w:p>
      <w:r>
        <w:rPr>
          <w:b/>
        </w:rPr>
        <w:t>[Pages 4–4]</w:t>
      </w:r>
    </w:p>
    <w:p>
      <w:r>
        <w:t xml:space="preserve">III. Competitive Analysis  </w:t>
        <w:br/>
        <w:t xml:space="preserve">15. In a potential department store market, the market share of the Printemps group has been estimated by the parties at nearly [20-30]%, with the transaction resulting in no overlap of activities, as only the Printemps group would be active in this market.  </w:t>
        <w:br/>
        <w:t xml:space="preserve">16. In the various high-end specialized retail markets where the parties' activities overlap (ready-to-wear, fashion accessories, cosmetics, and perfumery), their national market share would remain below 5%, with sales from Valentino stores estimated at less than [0-5]% of the market.  </w:t>
        <w:br/>
        <w:t xml:space="preserve">17. At the local level, the parties' activities overlap only in Paris. The parties have not been able to communicate their market shares, but the addition of two Valentino retail outlets to the positions held by the Printemps group is not likely to alter the competitive structure in the various relevant Parisian markets.  </w:t>
        <w:br/>
        <w:t xml:space="preserve">18. It should therefore be considered that the transaction does not harm competition in the relevant markets.  </w:t>
        <w:br/>
        <w:t xml:space="preserve">DECIDES  </w:t>
        <w:br/>
        <w:t xml:space="preserve">Sole Article: The transaction notified under number 13-046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