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https://www.autoritedelaconcurrence.fr/fr/decision-de-controle-des-concentrations/relative-la-prise-de-controle-exclusif-de-la-societe-95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14-DCC-120 of August 18, 2014  </w:t>
        <w:br/>
        <w:t xml:space="preserve">regarding the exclusive control acquisition of the company Richand by the  </w:t>
        <w:br/>
        <w:t xml:space="preserve">company ITM Alimentaire Centre-Est  </w:t>
        <w:br/>
        <w:t xml:space="preserve">The Competition Authority,  </w:t>
        <w:br/>
        <w:t xml:space="preserve">Having regard to the complete notification file sent to the mergers department on July 29, 2014,  </w:t>
        <w:br/>
        <w:t xml:space="preserve">concerning the exclusive control acquisition of the company Richand by the company ITM Alimentaire  </w:t>
        <w:br/>
        <w:t xml:space="preserve">Centre-Est and formalized by a share transfer agreement dated July 15, 2014;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Richand, which operates  </w:t>
        <w:br/>
        <w:t xml:space="preserve">a retail outlet in L’Isle-sur-le-Doubs (25) with a predominant focus on food under the brand  </w:t>
        <w:br/>
        <w:t xml:space="preserve">Intermarché, by the company ITM Alimentaire Ouest. It constitutes a concentration operation within the meaning of Article L. 430-1 of the Commercial Code. Given the turnover generated by the companies involved, the operation does not have a community dimension. On the other hand, the control thresholds related to retail trade mentioned in point II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14-136 is authorized.  </w:t>
        <w:br/>
        <w:t xml:space="preserve">The Vice-President,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