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https://www.autoritedelaconcurrence.fr/fr/decision-de-controle-des-concentrations/relative-la-prise-de-controle-exclusif-de-la-societe-96</w:t>
      </w:r>
    </w:p>
    <w:p>
      <w:r>
        <w:t>Pages translated : 4</w:t>
      </w:r>
    </w:p>
    <w:p/>
    <w:p>
      <w:r>
        <w:rPr>
          <w:b/>
        </w:rPr>
        <w:t>[Pages 1–3]</w:t>
      </w:r>
    </w:p>
    <w:p>
      <w:r>
        <w:t xml:space="preserve">FRENCH REPUBLIC  </w:t>
        <w:br/>
        <w:t xml:space="preserve">Decision No. 14-DCC-122 of August 20, 2014  </w:t>
        <w:br/>
        <w:t xml:space="preserve">regarding the exclusive control of the company Groupe Mennetrier by  </w:t>
        <w:br/>
        <w:t xml:space="preserve">the company Gueudet Frères  </w:t>
        <w:br/>
        <w:t xml:space="preserve">The Competition Authority,  </w:t>
        <w:br/>
        <w:t xml:space="preserve">Having regard to the notification file submitted in full to the merger service on July 23, 2014,  </w:t>
        <w:br/>
        <w:t xml:space="preserve">regarding the exclusive control of the company Groupe Mennetrier by the company Gueudet  </w:t>
        <w:br/>
        <w:t xml:space="preserve">Frères, as evidenced by a share transfer agreement dated July 7, 2014;  </w:t>
        <w:br/>
        <w:t xml:space="preserve">Having regard to Book IV of the Commercial Code relating to price freedom and competition, and  </w:t>
        <w:br/>
        <w:t xml:space="preserve">notably its Articles L. 430-1 to L. 430-7;  </w:t>
        <w:br/>
        <w:t xml:space="preserve">Adopts the following decision:  </w:t>
        <w:br/>
        <w:t xml:space="preserve">I. The concerned companies and the operation  </w:t>
        <w:br/>
        <w:t xml:space="preserve">1. Gueudet Frères is a French public limited company, controlled by the company  </w:t>
        <w:br/>
        <w:t xml:space="preserve">Automotive Parts and Services Group (“APSG”). The latter is the holding company of a group  </w:t>
        <w:br/>
        <w:t xml:space="preserve">active in automotive distribution (the “Gueudet group”). The Gueudet group operates,  </w:t>
        <w:br/>
        <w:t xml:space="preserve">notably through its various subsidiaries, car dealerships for brands Renault, Dacia, Nissan,  </w:t>
        <w:br/>
        <w:t xml:space="preserve">Opel, Toyota, Volkswagen, BMW, and Mini in the departments of Aisne (02), Ardennes (08),  </w:t>
        <w:br/>
        <w:t xml:space="preserve">Marne (51), Oise (60), Pas de Calais (62), Haute Savoie (74), Seine-Maritime (76), Seine  </w:t>
        <w:br/>
        <w:t xml:space="preserve">et Marne (77), Somme (80), and Val d’Oise (95).  </w:t>
        <w:br/>
        <w:t xml:space="preserve">2. Groupe Mennetrier is a simplified joint-stock company under French law active in  </w:t>
        <w:br/>
        <w:t xml:space="preserve">automotive distribution. It has subsidiaries operating car dealerships for brands Renault,  </w:t>
        <w:br/>
        <w:t xml:space="preserve">Dacia, Nissan, and Suzuki in the departments of Seine-Maritime (76), Eure (27), and  </w:t>
        <w:br/>
        <w:t>Calvados (14). The company Groupe Mennetrier is owned by the Mennetrier consortium.</w:t>
      </w:r>
    </w:p>
    <w:p>
      <w:r>
        <w:t xml:space="preserve">3. By a share transfer agreement dated July 7, 2014, the company Gueudet Frères and the  </w:t>
        <w:br/>
        <w:t xml:space="preserve">company Groupe Mennetrier agreed to the transfer of all shares of the company Groupe  </w:t>
        <w:br/>
        <w:t xml:space="preserve">Mennetrier.  </w:t>
        <w:br/>
        <w:t xml:space="preserve">4. As it results in the exclusive control of the company Groupe Mennetrier, the notified  </w:t>
        <w:br/>
        <w:t xml:space="preserve">operation constitutes a concentration within the meaning of Article L.430-1 of the  </w:t>
        <w:br/>
        <w:t xml:space="preserve">Commercial Code.  </w:t>
        <w:br/>
        <w:t xml:space="preserve">5. The companies concerned together achieve a total worldwide turnover of more than 75  </w:t>
        <w:br/>
        <w:t xml:space="preserve">million euros (Gueudet group: 892.1 million euros for the fiscal year ending December 31,  </w:t>
        <w:br/>
        <w:t xml:space="preserve">2013; Groupe Mennetrier: 193.2 million euros for the same fiscal year). At least two of  </w:t>
        <w:br/>
        <w:t xml:space="preserve">these companies achieve a turnover in France exceeding 15 million euros in the retail trade  </w:t>
        <w:br/>
        <w:t xml:space="preserve">sector (Gueudet group: 892.1 million euros for the fiscal year ending December 31, 2013;  </w:t>
        <w:br/>
        <w:t xml:space="preserve">Groupe Mennetrier: 193.2 million euros for the same fiscal year). Given the turnover of the  </w:t>
        <w:br/>
        <w:t xml:space="preserve">concerned companies, it does not have a community dimension. However, the control thresholds  </w:t>
        <w:br/>
        <w:t xml:space="preserve">mentioned in point II of Article L. 430-2 of the Commercial Code are exceeded. The present  </w:t>
        <w:br/>
        <w:t xml:space="preserve">operation is therefore subject to the provisions of Articles L. 430-3 and following of the  </w:t>
        <w:br/>
        <w:t xml:space="preserve">Commercial Code relating to economic concentration.  </w:t>
        <w:br/>
        <w:t xml:space="preserve">II. Delimitation of relevant markets  </w:t>
        <w:br/>
        <w:t xml:space="preserve">A. DELIMITATION OF PRODUCT AND SERVICE MARKETS  </w:t>
        <w:br/>
        <w:t xml:space="preserve">6. In the automotive distribution sector, the decisional practice1 distinguishes (i) the  </w:t>
        <w:br/>
        <w:t xml:space="preserve">distribution of new passenger vehicles intended for individual customers; (ii) the distribution  </w:t>
        <w:br/>
        <w:t xml:space="preserve">of new passenger vehicles intended for professional customers; (iii) the distribution of  </w:t>
        <w:br/>
        <w:t xml:space="preserve">commercial vehicles; (iv) the distribution of used vehicles; (v) the distribution of spare parts  </w:t>
        <w:br/>
        <w:t xml:space="preserve">and automotive accessories; (vi) the distribution of vehicle maintenance and repair services;  </w:t>
        <w:br/>
        <w:t xml:space="preserve">(vii) the distribution of rental services.  </w:t>
        <w:br/>
        <w:t xml:space="preserve">7. There is no need to challenge these delimitations during the examination of the present  </w:t>
        <w:br/>
        <w:t xml:space="preserve">operation.  </w:t>
        <w:br/>
        <w:t xml:space="preserve">8. The concerned companies are simultaneously present in all of these markets, namely (i) the  </w:t>
        <w:br/>
        <w:t xml:space="preserve">distribution of new passenger vehicles intended for individual customers; (ii) the distribution  </w:t>
        <w:br/>
        <w:t xml:space="preserve">of new passenger vehicles intended for professional customers; (iii) the distribution of  </w:t>
        <w:br/>
        <w:t xml:space="preserve">commercial vehicles; (iv) the distribution of used vehicles; (v) the distribution of spare parts  </w:t>
        <w:br/>
        <w:t xml:space="preserve">and automotive accessories; (vi) the distribution of vehicle maintenance and repair services;  </w:t>
        <w:br/>
        <w:t xml:space="preserve">(vii) the distribution of rental services.  </w:t>
        <w:br/>
        <w:t>1 See in particular Decision No. 09-DCC-01 of the Competition Authority of April 8, 2009, and Decision No. 10-DCC-23 of March 1, 2010.</w:t>
      </w:r>
    </w:p>
    <w:p>
      <w:r>
        <w:t xml:space="preserve">B. GEOGRAPHICAL DELIMITATION OF MARKETS  </w:t>
        <w:br/>
        <w:t xml:space="preserve">9. Regarding the retail sale of motor vehicles, new or used, spare parts, and automotive  </w:t>
        <w:br/>
        <w:t xml:space="preserve">accessories, as well as vehicle maintenance and repair services, the decisional practice2 adopts  </w:t>
        <w:br/>
        <w:t xml:space="preserve">a local definition, with the analysis generally conducted at the departmental level.  </w:t>
        <w:br/>
        <w:t xml:space="preserve">10. In the present case, both parties are active in the department of Seine-Maritime (76), the  </w:t>
        <w:br/>
        <w:t xml:space="preserve">only department where their activities overlap.  </w:t>
        <w:br/>
        <w:t xml:space="preserve">III. Competitive Analysis  </w:t>
        <w:br/>
        <w:t xml:space="preserve">11. Concerning the calculation of market shares, the decisional practice3 uses as an indicator  </w:t>
        <w:br/>
        <w:t xml:space="preserve">the ratio between the sales of new vehicles made by the parties in the departments concerned by  </w:t>
        <w:br/>
        <w:t xml:space="preserve">the operation and the total registrations of new vehicles recorded in those same departments by  </w:t>
        <w:br/>
        <w:t xml:space="preserve">the prefectures.  </w:t>
        <w:br/>
        <w:t xml:space="preserve">12. In the various markets concerned by the operation, the parties to the concentration present the  </w:t>
        <w:br/>
        <w:t xml:space="preserve">following market shares:  </w:t>
        <w:br/>
        <w:t xml:space="preserve">Department of Seine-Maritime (76)  </w:t>
        <w:br/>
        <w:t xml:space="preserve">Gueudet Mennetrier Cumulative  </w:t>
        <w:br/>
        <w:t xml:space="preserve">Distribution of new passenger vehicles intended for individual customers 3.00% 2.95% 5.95%  </w:t>
        <w:br/>
        <w:t xml:space="preserve">Distribution of new passenger vehicles intended for professional customers 1.01% 1.32% 2.33%  </w:t>
        <w:br/>
        <w:t xml:space="preserve">Distribution of commercial vehicles 1.31% 1.93% 3.24%  </w:t>
        <w:br/>
        <w:t xml:space="preserve">Distribution of used vehicles 0.85% 0.73% 1.58%  </w:t>
        <w:br/>
        <w:t xml:space="preserve">13. In the markets for the distribution of new passenger vehicles to individual customers, the  </w:t>
        <w:br/>
        <w:t xml:space="preserve">distribution of new commercial vehicles, the distribution of commercial vehicles, and the  </w:t>
        <w:br/>
        <w:t xml:space="preserve">distribution of used vehicles, the Gueudet group will therefore hold in the department of  </w:t>
        <w:br/>
        <w:t xml:space="preserve">Seine-Maritime (76) market shares below 20%, regardless of the market concerned following  </w:t>
        <w:br/>
        <w:t xml:space="preserve">the operation.  </w:t>
        <w:br/>
        <w:t xml:space="preserve">2 See the aforementioned decisions.  </w:t>
        <w:br/>
        <w:t>3 See the aforementioned decisions.</w:t>
      </w:r>
    </w:p>
    <w:p>
      <w:r>
        <w:rPr>
          <w:b/>
        </w:rPr>
        <w:t>[Pages 4–4]</w:t>
      </w:r>
    </w:p>
    <w:p>
      <w:r>
        <w:t>14. In the market for the retail sale of spare parts and automotive accessories and in the market for vehicle maintenance and repair services, the parties have not been able to provide their market shares. However, it should be noted that the Gueudet group will face competition from numerous independent garages and repairers and specialized brands such as Speedy, Norauto, Midas, Feu Vert, or Centre AD, as well as other dealers likely to offer consumers identical or equivalent quality spare parts and accessories, and vehicle maintenance and repair services similar to those distributed by the Gueudet group.</w:t>
      </w:r>
    </w:p>
    <w:p>
      <w:r>
        <w:t>15. Given the above elements, the operation is not likely to harm competition in the relevant markets.</w:t>
      </w:r>
    </w:p>
    <w:p>
      <w:r>
        <w:t>DECIDES</w:t>
        <w:br/>
        <w:t>Sole Article: The operation notified under number 14-131 is authorized.</w:t>
        <w:b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