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https://www.autoritedelaconcurrence.fr/fr/decision-de-controle-des-concentrations/relative-la-prise-de-controle-exclusif-de-la-societe-99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14-DCC-133 of September 15, 2014  </w:t>
        <w:br/>
        <w:t xml:space="preserve">regarding the exclusive control acquisition of the company Exxelia Expansion  </w:t>
        <w:br/>
        <w:t xml:space="preserve">by IK Invest B.V.  </w:t>
        <w:br/>
        <w:t xml:space="preserve">The Competition Authority,  </w:t>
        <w:br/>
        <w:t xml:space="preserve">Having regard to the complete notification file submitted to the mergers department on August 26, 2014  </w:t>
        <w:br/>
        <w:t xml:space="preserve">concerning the exclusive control acquisition of the company Exxelia Expansion SAS by IK Invest B.V.  </w:t>
        <w:br/>
        <w:t xml:space="preserve">and formalized by a letter of acquisition promise countersigned on August 1, 2014;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Exxelia Expansion,  </w:t>
        <w:br/>
        <w:t xml:space="preserve">primarily active in the manufacturing of passive electronic components, by the company  </w:t>
        <w:br/>
        <w:t xml:space="preserve">IK Invest B.V., through its investment fund IK VII. This operation constitutes a  </w:t>
        <w:br/>
        <w:t xml:space="preserve">concentration within the meaning of Article L. 430-1 of the Commercial Code. Given the revenues  </w:t>
        <w:br/>
        <w:t xml:space="preserve">generated by the concerned companies, the operation does not have a community dimension. On the other hand, the control thresholds related to concentration operations  </w:t>
        <w:br/>
        <w:t xml:space="preserve">mentioned in point I of Article L. 430-2 of the Commercial Code are exceeded. The present  </w:t>
        <w:br/>
        <w:t xml:space="preserve">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14-140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