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https://www.autoritedelaconcurrence.fr/fr/decision-de-controle-des-concentrations/relative-la-prise-de-controle-exclusif-de-la-societe-abcis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18-DCC-215 of December 7, 2018  </w:t>
        <w:br/>
        <w:t xml:space="preserve">regarding the exclusive control acquisition of the company ABCIS Bretagne and  </w:t>
        <w:br/>
        <w:t xml:space="preserve">its subsidiaries by the company Nedelec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19, 2018, concerning the exclusive control acquisition of the company ABCIS Bretagne and its  </w:t>
        <w:br/>
        <w:t xml:space="preserve">subsidiaries by the company Nedelec, and formalized by a letter of intent dated  </w:t>
        <w:br/>
        <w:t xml:space="preserve">September 12,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during the investigation by the notifying party;  </w:t>
        <w:br/>
        <w:t xml:space="preserve">Adopts the following decision:  </w:t>
        <w:br/>
        <w:t xml:space="preserve">1. The notified operation consists of the exclusive control acquisition of the company ABCIS Bretagne and  </w:t>
        <w:br/>
        <w:t xml:space="preserve">its subsidiaries by the company Nedelec. ABCIS Bretagne operates businesses for  </w:t>
        <w:br/>
        <w:t xml:space="preserve">the distribution and repair of motor vehicles, under the Peugeot brand, in the  </w:t>
        <w:br/>
        <w:t xml:space="preserve">Finistère (29). This operation constitutes a concentration within the meaning of Article L. 430-1 of the Commercial  </w:t>
        <w:br/>
        <w:t xml:space="preserve">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18-240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