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https://www.autoritedelaconcurrence.fr/fr/decision-de-controle-des-concentrations/relative-la-prise-de-controle-exclusif-de-la-societe-acces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17-DCC-126 of August 9, 2017  </w:t>
        <w:br/>
        <w:t xml:space="preserve">regarding the acquisition of exclusive control of the company Accès Industrie SA  </w:t>
        <w:br/>
        <w:t xml:space="preserve">by the company Parquest Capital  </w:t>
        <w:br/>
        <w:t xml:space="preserve">The Competition Authority,  </w:t>
        <w:br/>
        <w:t xml:space="preserve">Having regard to the complete notification file submitted to the mergers department on July 21, 2017,  </w:t>
        <w:br/>
        <w:t xml:space="preserve">concerning the acquisition of exclusive control of the company Accès Industrie SA by the company Parquest  </w:t>
        <w:br/>
        <w:t xml:space="preserve">Capital, formalized by several share transfer agreements dated July 10,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Parquest Capital of exclusive control  </w:t>
        <w:br/>
        <w:t xml:space="preserve">of the company Accès Industrie SA, which specializes in the rental and sale of lifting and handling equipment  </w:t>
        <w:br/>
        <w:t xml:space="preserve">for the construction and renovation of industrial and commercial buildings. This operation constitutes a concentration  </w:t>
        <w:br/>
        <w:t xml:space="preserve">operation within the meaning of Article L. 430-1 of the Commercial Code. Given the turnover generated  </w:t>
        <w:br/>
        <w:t xml:space="preserve">by the companies concerned, the operation does not fall under the jurisdiction of the European Union. On the other hand,  </w:t>
        <w:br/>
        <w:t xml:space="preserve">the control thresholds provided for in point I of Article L. 430-2 of the Commercial Code are exceeded. This operation is therefore  </w:t>
        <w:br/>
        <w:t xml:space="preserve">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17-152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