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18-DCC-213 of December 7, 2018</w:t>
        <w:br/>
        <w:t>regarding the acquisition of exclusive control of the company ACE Management</w:t>
        <w:br/>
        <w:t>by the company Tikehau Capital</w:t>
        <w:br/>
        <w:t>The Competition Authority,</w:t>
        <w:br/>
        <w:t>Having regard to the notification file sent to the mergers department on November 12, 2018,</w:t>
        <w:br/>
        <w:t>declared complete on November 23, 2018, concerning the acquisition of exclusive control of the company</w:t>
        <w:br/>
        <w:t>ACE Management by the company Tikehau Capital, formalized by a transfer agreement and a</w:t>
        <w:br/>
        <w:t>contribution agreement dated September 26, 2018;</w:t>
        <w:br/>
        <w:t>Having regard to Book IV of the Commercial Code relating to the freedom of prices and competition, and</w:t>
        <w:br/>
        <w:t>in particular its Articles L. 430-1 to L. 430-7;</w:t>
        <w:br/>
        <w:t>Having regard to the additional elements submitted by the notifying party during the investigation;</w:t>
        <w:br/>
        <w:t>Adopts the following decision:</w:t>
        <w:br/>
        <w:t>1. The notified operation consists of the acquisition of exclusive control by the company Tikehau Capital of</w:t>
        <w:br/>
        <w:t>the company ACE Management. It constitutes a concentration within the meaning of Article L. 430-1 of the</w:t>
        <w:br/>
        <w:t>Commercial Code. Given the turnover achieved by the concerned companies,</w:t>
        <w:br/>
        <w:t>the operation does not fall under the jurisdiction of the European Union. However, the thresholds for</w:t>
        <w:br/>
        <w:t>control mentioned in I of Article L. 430-2 of the Commercial Code are exceeded. This</w:t>
        <w:br/>
        <w:t>operation is therefore subject to the provisions of Articles L. 430-3 and following of the Commercial Code</w:t>
        <w:br/>
        <w:t>relating to economic concentration.</w:t>
        <w:br/>
        <w:t>2. The markets concerned by the operation are those of asset management and industrial supply, which are</w:t>
        <w:br/>
        <w:t>consistently defined by the decision-making practice of the Competition Authority.</w:t>
        <w:br/>
        <w:t>3. Regardless of the segmentations retained, the combined market shares of the parties are</w:t>
        <w:br/>
        <w:t>below 25%.</w:t>
        <w:br/>
        <w:t>4. Considering the elements of the file and in particular point 384 of the guidelines of</w:t>
        <w:br/>
        <w:t>the Competition Authority relating to the control of concentrations, the operation is not</w:t>
        <w:br/>
        <w:t>likely to harm competition.</w:t>
      </w:r>
    </w:p>
    <w:p>
      <w:r>
        <w:t>DECIDES</w:t>
        <w:br/>
        <w:t>Sole Article: The operation notified under number 18-256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