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https://www.autoritedelaconcurrence.fr/fr/decision-de-controle-des-concentrations/relative-la-prise-de-controle-exclusif-de-la-societe-ad</w:t>
      </w:r>
    </w:p>
    <w:p>
      <w:r>
        <w:t>Pages translated : 7</w:t>
      </w:r>
    </w:p>
    <w:p/>
    <w:p>
      <w:r>
        <w:rPr>
          <w:b/>
        </w:rPr>
        <w:t>[Pages 1–3]</w:t>
      </w:r>
    </w:p>
    <w:p>
      <w:r>
        <w:t>FRENCH REPUBLIC</w:t>
        <w:br/>
        <w:t>Decision No. 16-DCC-148 of September 23, 2016</w:t>
        <w:br/>
        <w:t>regarding the exclusive control of AD Industrie by</w:t>
        <w:br/>
        <w:t>Stirling Square Capital Partners</w:t>
        <w:br/>
        <w:t>The Competition Authority,</w:t>
        <w:br/>
        <w:t>Having regard to the notification file submitted in full to the merger service on August 26, 2016,</w:t>
        <w:br/>
        <w:t>regarding the exclusive control of AD Industrie by Stirling Square Capital Partners formalized by a share acquisition contract dated August 5, 2016;</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br/>
        <w:t>I. The concerned companies and the operation</w:t>
        <w:br/>
        <w:t>1. Stirling Square Capital Partners is a group composed of private equity fund management companies, including Stirling Square Capital Partners Jersey Management III Limited (hereinafter, "Stirling Square"). Among the companies in Stirling Square's portfolio, the English company Mettis Aerospace specializes in precision forging, primarily for the aeronautical industry. Mettis Aerospace is a subcontractor that supplies equipment to aircraft manufacturers, other subcontractors, or equipment manufacturers.</w:t>
        <w:br/>
        <w:t>2. AD Industrie is the parent company of the AD Industrie group (hereinafter, "ADI"). ADI specializes in mechanical and hydraulic engineering. It manufactures technical parts and precision mechanical assemblies in composite materials or metal. The parts and equipment manufactured by ADI are primarily intended for the aeronautical industry. It acts as a subcontractor for aircraft manufacturers, equipment manufacturers, and other subcontractors.</w:t>
        <w:br/>
        <w:t>3. The operation, formalized by a share acquisition contract dated August 5, 2016, consists of the acquisition of 100% of the share capital and voting rights of AD Industrie by Stirling Square Capital Partners through the investment funds managed by the management company Stirling Square Capital Partners Jersey Management III Limited. Insofar as it results in the exclusive control of ADI by Stirling Square Capital Partners, the notified operation constitutes a concentration operation within the meaning of Article L. 430-1 of the Commercial Code.</w:t>
        <w:br/>
        <w:t>4. The companies concerned together achieve a consolidated worldwide turnover excluding taxes of more than 150 million euros (Stirling Square: [...] euros for the fiscal year ending December 31, 2015; ADI: [...] euros for the same fiscal year). Each of the companies concerned achieves a turnover in France exceeding 50 million euros excluding taxes (Stirling Square: [...] euros for the fiscal year ending December 31, 2015; ADI: [...] euros for the same fiscal year). Given these turnovers, the operation does not fall under the competence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markets concerned by the operation fall within the aeronautics sector, particularly that of manufacturing parts and components for aircraft, in which the parties are simultaneously present. The parties are also active in the energy sector through their activity of manufacturing parts for electricity production.</w:t>
        <w:br/>
        <w:t>A. THE AERONAUTICS SECTOR</w:t>
        <w:br/>
        <w:t>1. PRODUCT MARKETS</w:t>
        <w:br/>
        <w:t>6. The Competition Authority has already had the opportunity to emphasize that "in terms of spare parts, national decision-making practice considers that each type of part can constitute a relevant market"1, given the absence of substitutability between them. This solution has notably been retained in the aeronautics sector2, as each part corresponds to a different use3. Thus, competition authorities have, while generally leaving the question of potential segmentations open, considered markets relating to certain components, such as connectors4, filtration systems5, or aeronautical fasteners6, or more recently low-pressure turbines and combustion chambers7.</w:t>
        <w:br/>
        <w:t>7. The European Commission has emphasized that it is relevant to distinguish, among manufacturers of parts and components for aeronautical engines, the OEMs ("original equipment manufacturers," in this case, the aircraft manufacturers), Tier 1 subcontractors, who have the capability to deliver complete parts or modules of an engine or structure, and Tier 2 subcontractors who supply primary parts and subassemblies to the OEMs and/or Tier 1 subcontractors8.</w:t>
        <w:br/>
        <w:t>8. Decision-making practice also highlights the need to differentiate subcontractors according to the manufacturing techniques implemented. This distinction is particularly relevant insofar as the offering of aeronautical subcontractors, particularly Tier 2, is focused on the processes and techniques implemented (machining, welding, assembly, supply chain management) rather than on the products themselves that the contractors design through their specifications. While leaving the question open, the Commission distinguished, on the one hand, machining companies and, on the other hand, forging and casting companies9. It also considered that it was relevant to distinguish the market for machined components from the market for forged and cast rings, as these categories involve different manufacturing processes10.</w:t>
        <w:br/>
        <w:t>9. The question of the exact definition of the relevant market can be left open in this case as the conclusions of the competitive analysis will remain unchanged regardless of the segmentations chosen.</w:t>
        <w:br/>
        <w:t>10. The parties are both present in the market for parts and components for aircraft as well as in the market for parts and components for helicopters11.</w:t>
        <w:br/>
        <w:t>a) The markets for parts and components for aircraft</w:t>
        <w:br/>
        <w:t>11. Decision-making practice12 has distinguished, in the sector of parts and components for aircraft, the components of aeronautical engines (i), aerostructure elements (ii), and aeronautical equipment (in which the notifying party includes components for landing gear) (iii) as well as flight control actuators (iv).</w:t>
        <w:br/>
        <w:t>i. Aeronautical engine components</w:t>
        <w:br/>
        <w:t>12. It emerges from European decision-making practice that the market for aeronautical components can be segmented according to the type of component13.</w:t>
        <w:br/>
        <w:t>13. In any case, the question of the exact definition of the relevant market can be left open as the conclusions of the competitive analysis remain unchanged regardless of the segmentation chosen.</w:t>
        <w:br/>
        <w:t>6 See the European Commission decision COMP/M.2928 Alcoa / Fairchild of October 14, 2002.</w:t>
        <w:br/>
        <w:t>7 See the aforementioned European Commission decision COMP/M.6844.</w:t>
        <w:br/>
        <w:t>8 See the European Commission decision COMP/M. 6581 GKN/Volvo Aero of September 3, 2012.</w:t>
        <w:br/>
        <w:t>9 Id.</w:t>
        <w:br/>
        <w:t>10 See the European Commission decision COMP/M. 4561 GE/Smiths Aerospace of April 23, 2007.</w:t>
        <w:br/>
        <w:t>11 See the European Commission decision COMP/M.3217 Carlyle/Finmeccanica/Avio of August 18, 2003.</w:t>
        <w:br/>
        <w:t>12 See the European Commission decision COMP/M.6765 Precision Castparts/Titanium Metals of December 19, 2012 and the aforementioned Authority decision No. 14-DCC-75.</w:t>
        <w:br/>
        <w:t>13 See the European Commission decisions COMP/M.2021 and M.6844 mentioned above.</w:t>
      </w:r>
    </w:p>
    <w:p>
      <w:r>
        <w:rPr>
          <w:b/>
        </w:rPr>
        <w:t>[Pages 4–6]</w:t>
      </w:r>
    </w:p>
    <w:p>
      <w:r>
        <w:t xml:space="preserve">ii. Aerostructure Components  </w:t>
        <w:br/>
        <w:t xml:space="preserve">14. The Minister in charge of the economy14 has identified a global market for aerostructure components, encompassing both the smallest parts (such as hooks and cables) and the largest (notably wings and fuselage), and has considered, while leaving the question open, a segmentation based on the type of aerostructure concerned (wings, doors, etc.).  </w:t>
        <w:br/>
        <w:t xml:space="preserve">15. In any case, the question of the exact definition of the relevant market can be left open insofar as, regardless of the segmentation chosen, the conclusions of the competitive analysis remain unchanged.  </w:t>
        <w:br/>
        <w:t xml:space="preserve">iii. Aeronautical Equipment  </w:t>
        <w:br/>
        <w:t xml:space="preserve">16. Regarding aeronautical equipment, decision-making practice15 distinguishes avionics equipment, whose controls are installed in the cockpit and which are used for the control of the aircraft, from non-avionics equipment, which concerns various systems, such as those for air conditioning, electrical power supply, wheels and brakes, landing gear, and lighting.  </w:t>
        <w:br/>
        <w:t xml:space="preserve">17. A segmentation may also be considered based on the civil or military destination of aeronautical engine components16.  </w:t>
        <w:br/>
        <w:t xml:space="preserve">18. In any case, the question of the exact definition of the market can be left open insofar as, regardless of the segmentation chosen, the conclusions of the competitive analysis remain unchanged.  </w:t>
        <w:br/>
        <w:t xml:space="preserve">iv. Flight Control Actuators  </w:t>
        <w:br/>
        <w:t xml:space="preserve">19. Flight control actuators are systems that allow the actuation of elements involved in the movement or control of the aircraft. The Commission17 has notably distinguished primary systems that maintain the aircraft's altitude and orientation from secondary systems used during landing and takeoff. The Commission has also mentioned the existence of a segment for subassemblies of flight control actuator systems that include certain parts implemented in these systems.  </w:t>
        <w:br/>
        <w:t xml:space="preserve">b) The Market for Helicopter Parts and Components  </w:t>
        <w:br/>
        <w:t xml:space="preserve">20. Decision-making practice has left open the question of whether there are distinct segments within this market for structural elements, fasteners, and equipment18.  </w:t>
        <w:br/>
        <w:t xml:space="preserve">21. In any case, the question of the exact definition of the markets can be left open insofar as, regardless of the one retained, the conclusions of the competitive analysis remain unchanged.  </w:t>
        <w:br/>
        <w:t xml:space="preserve">14 See the letter from the Minister of Economy, Industry and Employment C2008-123 dated December 19, 2008, to the advisors of Daher Aerospace, regarding a concentration in the sector of aerostructure supply and aeronautical construction.  </w:t>
        <w:br/>
        <w:t xml:space="preserve">15 See the European Commission decision COMP/M.3621 Sagem/Snecma dated December 22, 2004.  </w:t>
        <w:br/>
        <w:t xml:space="preserve">16 See the aforementioned Authority decision n°14-DCC-75.  </w:t>
        <w:br/>
        <w:t xml:space="preserve">17 See the European Commission decision COMP/M.6410 UTC Goodrich dated July 26, 2012.  </w:t>
        <w:br/>
        <w:t xml:space="preserve">18 See the aforementioned Authority decision n°14-DCC-75.  </w:t>
        <w:br/>
        <w:t>2</w:t>
      </w:r>
    </w:p>
    <w:p>
      <w:r>
        <w:t xml:space="preserve">2. THE GEOGRAPHICAL MARKETS  </w:t>
        <w:br/>
        <w:t xml:space="preserve">22. The European Commission has previously had the opportunity to consider that the market for aeronautical engine components19 was of a global dimension, as suppliers and their main competitors are active at a global level, and the purchasing policy carried out by their clients is global, notably due to low transportation costs.  </w:t>
        <w:br/>
        <w:t xml:space="preserve">23. Similarly, the market for aerostructure components as well as its possible segmentations is, according to decision-making practice, of a global dimension20.  </w:t>
        <w:br/>
        <w:t xml:space="preserve">24. The market for civil aeronautical equipment also has a global dimension21. In terms of military aeronautical equipment, the Commission has made a distinction between producing countries and countries where there is no national producer (particularly for system control), defining the market as national in the first case and European in the second, even if the definition of national markets tends to be challenged. Regarding spare parts, the positions of the parties will be analyzed at a global level in the market for aeronautical equipment.  </w:t>
        <w:br/>
        <w:t xml:space="preserve">25. The market for flight control actuators is also of a global dimension22.  </w:t>
        <w:br/>
        <w:t xml:space="preserve">26. Finally, by analogy with the aeronautical sector, the parties propose to reason on a market for helicopter parts and components of a global dimension. The competitive analysis will therefore be conducted at a global level.  </w:t>
        <w:br/>
        <w:t xml:space="preserve">B. PARTS FOR POWER PLANTS  </w:t>
        <w:br/>
        <w:t xml:space="preserve">1. THE PRODUCT MARKET  </w:t>
        <w:br/>
        <w:t xml:space="preserve">27. The Competition Authority has distinguished a segment of forged parts by sector of activity, in this case the energy sector, as well as a segmentation by type of parts23.  </w:t>
        <w:br/>
        <w:t xml:space="preserve">28. In any case, the question of the exact definition of the markets can be left open insofar as, regardless of the segmentation chosen, the conclusions of the competitive analysis remain unchanged.  </w:t>
        <w:br/>
        <w:t xml:space="preserve">2. THE GEOGRAPHICAL MARKET  </w:t>
        <w:br/>
        <w:t xml:space="preserve">29. Practice has considered a market of at least a European dimension24. The precise definition of the geographical dimension of the market can in any case be left open, insofar as, regardless of the delimitation chosen, the conclusions of the competitive analysis will remain unchanged.  </w:t>
        <w:br/>
        <w:t xml:space="preserve">19 See the aforementioned European Commission decision COMP/M.6844.  </w:t>
        <w:br/>
        <w:t xml:space="preserve">20 See the aforementioned letter from the Minister of Economy, Industry and Employment C2008-123.  </w:t>
        <w:br/>
        <w:t xml:space="preserve">21 See the aforementioned European Commission decision COMP/M.3621.  </w:t>
        <w:br/>
        <w:t xml:space="preserve">22 See the aforementioned European Commission decision COMP/M.6410.  </w:t>
        <w:br/>
        <w:t xml:space="preserve">23 See the Competition Authority decision n°09-DCC-08 dated May 25, 2009, regarding the exclusive control acquisition of the Setforge group by Farina B.V.  </w:t>
        <w:br/>
        <w:t xml:space="preserve">24 Id.  </w:t>
        <w:br/>
        <w:t>5</w:t>
      </w:r>
    </w:p>
    <w:p>
      <w:r>
        <w:t xml:space="preserve">III. Competitive Analysis  </w:t>
        <w:br/>
        <w:t xml:space="preserve">30. ADI and Mettis are able to manufacture thousands of different parts according to the specifications provided to them by the ordering parties. The market shares provided correspond to the narrowest segments by combining the techniques and know-how implemented (forging, machining, manufacturing) and the applications (aircraft, aircraft engines, aerostructure components, helicopter parts, parts for power plants). It follows that regardless of the hypothesis considered, the market shares are very low.  </w:t>
        <w:br/>
        <w:t xml:space="preserve">A. PARTS AND COMPONENTS IN THE AERONAUTICAL SECTOR  </w:t>
        <w:br/>
        <w:t xml:space="preserve">31. In the market for aircraft parts and components as well as in the market for helicopter parts and components, the cumulative market shares of the parties are below [10-20]% regardless of the segmentations retained. At a global level, the parties thus face competition from many powerful operators including GKN Aerospace, Barnes Aerospace, and Senior Aerospace Bosman.  </w:t>
        <w:br/>
        <w:t xml:space="preserve">32. Consequently, the operation is not likely to harm competition in the aeronautical market.  </w:t>
        <w:br/>
        <w:t xml:space="preserve">B. PARTS FOR ELECTRICITY GENERATION PLANTS  </w:t>
        <w:br/>
        <w:t xml:space="preserve">33. In the market for parts for electricity generation plants, the cumulative market share of the parties remains below [0-5]%, regardless of the segmentations retained.  </w:t>
        <w:br/>
        <w:t xml:space="preserve">34. The operation is therefore not likely to harm competition in the market for parts for power plants.  </w:t>
        <w:br/>
        <w:t>6</w:t>
      </w:r>
    </w:p>
    <w:p>
      <w:r>
        <w:rPr>
          <w:b/>
        </w:rPr>
        <w:t>[Pages 7–7]</w:t>
      </w:r>
    </w:p>
    <w:p>
      <w:r>
        <w:t xml:space="preserve">DECIDES  </w:t>
        <w:br/>
        <w:t xml:space="preserve">Sole Article: The transaction notified under number 16-164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