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https://www.autoritedelaconcurrence.fr/fr/decision-de-controle-des-concentrations/relative-la-prise-de-controle-exclusif-de-la-societe-adista</w:t>
      </w:r>
    </w:p>
    <w:p>
      <w:r>
        <w:t>Pages translated : 2</w:t>
      </w:r>
    </w:p>
    <w:p/>
    <w:p>
      <w:r>
        <w:rPr>
          <w:b/>
        </w:rPr>
        <w:t>[Pages 1–2]</w:t>
      </w:r>
    </w:p>
    <w:p>
      <w:r>
        <w:t xml:space="preserve">FRENCH REPUBLIC  </w:t>
        <w:br/>
        <w:t xml:space="preserve">Decision No. 21-DCC-104 of June 30, 2021  </w:t>
        <w:br/>
        <w:t xml:space="preserve">regarding the exclusive control acquisition of Adista Holding by  </w:t>
        <w:br/>
        <w:t xml:space="preserve">Kensight Capital  </w:t>
        <w:br/>
        <w:t>The Competition Authority,</w:t>
      </w:r>
    </w:p>
    <w:p>
      <w:r>
        <w:t>Having regard to the complete notification file submitted to the mergers department on June 11, 2021, concerning the exclusive control acquisition of Adista Holding by Kensight Capital, formalized by a sale agreement dated June 4, 2021;</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by Kensight Capital of Adista Holding, the parent company of the Adista group active in the sectors of business communication services, internet access, IT services, and colocation provided by data centers. It constitutes a concentration operation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21-119 is authorized.  </w:t>
        <w:b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