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https://www.autoritedelaconcurrence.fr/fr/decision-de-controle-des-concentrations/relative-la-prise-de-controle-exclusif-de-la-societe-aef</w:t>
      </w:r>
    </w:p>
    <w:p>
      <w:r>
        <w:t>Pages translated : 10</w:t>
      </w:r>
    </w:p>
    <w:p/>
    <w:p>
      <w:r>
        <w:rPr>
          <w:b/>
        </w:rPr>
        <w:t>[Pages 1–3]</w:t>
      </w:r>
    </w:p>
    <w:p>
      <w:r>
        <w:t xml:space="preserve">FRENCH REPUBLIC  </w:t>
        <w:br/>
        <w:t xml:space="preserve">Decision No. 17-DCC-88 of June 22, 2017  </w:t>
        <w:br/>
        <w:t>regarding the exclusive control of the company AEF by the company SPhere</w:t>
      </w:r>
    </w:p>
    <w:p>
      <w:r>
        <w:t xml:space="preserve">The Competition Authority,  </w:t>
        <w:br/>
        <w:t xml:space="preserve">Having regard to the notification file submitted in full to the merger service on April 28, 2017, regarding the exclusive control of the company AEF by the company SPhere, formalized by a transfer contract dated March 23,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SPhere is a public limited company controlled by the Persenda family, which holds [&gt; 50]% of its capital. SPhere heads a group of companies active in the sectors of production and marketing of household packaging, reusable bags, and industrial films for professionals and individuals.  </w:t>
        <w:br/>
        <w:t xml:space="preserve">2. AEF is a simplified joint-stock company at the head of the AEF group, active in the wholesale trade of packaging and household consumables on the one hand, and in the production of paper packaging on the other hand. AEF is controlled by the company Bridgepoint.  </w:t>
        <w:br/>
        <w:t xml:space="preserve">3. AEF and SPhere created, in March 2016, a joint venture responsible for promoting ranges of biodegradable and compostable bags1.  </w:t>
        <w:br/>
        <w:t xml:space="preserve">4. The notified operation consists of the acquisition of all shares of AEF by SPhere.  </w:t>
        <w:br/>
        <w:t>1 The joint venture was created for the promotion of Vegeos bags produced by SPhere and distributed by AEF and has no activity beyond this specific function. Consequently, it is not a full-fledged company, and its creation was therefore not subject to an ex-ante review under national merger control.</w:t>
      </w:r>
    </w:p>
    <w:p>
      <w:r>
        <w:t xml:space="preserve">5. In that it results in the exclusive control of AEF by SPhere, the notified operation constitutes a concentration operation within the meaning of Article L. 430-1 of the Commercial Code.  </w:t>
        <w:br/>
        <w:t>6. The companies concerned together achieve a total worldwide turnover excluding taxes of more than 150 million euros (SPhere: 370 million euros for the fiscal year ending December 31, 2015; AEF: [...] euros for the fiscal year ending March 31, 2016). Each of these companies has achieved a turnover in France exceeding 50 million euros (SPhere: [...] euros for the fiscal year ending December 31, 2015; AEF: [...] euros for the fiscal year ending March 31, 2016).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7. The parties are simultaneously active in the sectors of wholesale distribution of household packaging for professionals and individuals, as well as reusable bags for professionals and retail trade. Furthermore, they also operate in the upstream markets of supply of household packaging and reusable plastic bags, as manufacturers.</w:t>
      </w:r>
    </w:p>
    <w:p>
      <w:r>
        <w:t xml:space="preserve">A. THE MARKETS FOR SUPPLYING HOUSEHOLD PACKAGING  </w:t>
        <w:br/>
        <w:t xml:space="preserve">a) The product markets  </w:t>
        <w:br/>
        <w:t xml:space="preserve">8. In terms of supply, national decision-making practice consistently considers that there are as many markets as there are families of products, insofar as producers cannot easily convert to the manufacture of products other than their own. Moreover, the structure of supply, pricing dynamics, or manufacturing constraints can vary significantly from one product family to another2.  </w:t>
        <w:br/>
        <w:t xml:space="preserve">9. National decision-making practice has also defined the following specific product families: (i) films and palletizing and identification accessories, (ii) adhesives and strapping, (iii) cushioning and protection, (iv) industrial packaging, (v) packaging products for food retail (including trays and boxes, as well as food films and papers), (vi) packaging products for shops and boutiques (including bags and pouches), (vii) handling and storage, (viii) cleaning and hygiene products (including waste bags), and (ix) office supplies3. Within each of these product families, additional product segmentations have been considered, particularly for food films and bags, baking paper, and waste bags4.  </w:t>
        <w:br/>
        <w:t>10. In this case, the parties are simultaneously present in the supply markets for food films and bags, baking paper, waste bags, trays and boxes, as well as reusable plastic bags.</w:t>
      </w:r>
    </w:p>
    <w:p>
      <w:r>
        <w:t xml:space="preserve">b) The geographical markets  </w:t>
        <w:br/>
        <w:t xml:space="preserve">11. Decision-making practice considers that the markets for supplying household packaging are at least of national dimension, if not European5.  </w:t>
        <w:br/>
        <w:t>12. In this case, the question of the exact delimitation of these markets can be left open, insofar as, regardless of the segmentation chosen, the conclusions of the competitive analysis remain unchanged.</w:t>
      </w:r>
    </w:p>
    <w:p>
      <w:r>
        <w:t xml:space="preserve">B. THE MARKETS FOR WHOLESALE DISTRIBUTION OF HOUSEHOLD PACKAGING  </w:t>
        <w:br/>
        <w:t xml:space="preserve">a) The service markets  </w:t>
        <w:br/>
        <w:t xml:space="preserve">13. Regarding the distribution markets, the decision-making practice of competition authorities tends to segment the sector into as many markets as there are families of products, in the same way as upstream.  </w:t>
        <w:br/>
        <w:t xml:space="preserve">14. Distinct markets for the distribution of household packaging have thus been defined for food films and bags, baking paper, and waste bags, for example6.  </w:t>
        <w:br/>
        <w:t xml:space="preserve">15. Decision-making practice7 has also considered a segmentation between wholesale distribution to professionals and retail for resale to individuals for food products and certain paper products.  </w:t>
        <w:br/>
        <w:t xml:space="preserve">16. An additional segmentation relating to the type of professional clientele8, namely public or private, has also been considered to take into account the specificity of public sector tenders.  </w:t>
        <w:br/>
        <w:t>17. In this case, the parties are simultaneously present in the wholesale distribution sector of food films and bags, baking paper, waste bags, trays and boxes, and plastic bags for professionals and individuals.</w:t>
      </w:r>
    </w:p>
    <w:p>
      <w:r>
        <w:t xml:space="preserve">b) The geographical markets  </w:t>
        <w:br/>
        <w:t xml:space="preserve">18. The Authority has retained a national delimitation, particularly considering notable differences existing at the level of catalog design (languages and presentation), consumer habits, as well as the organization of the distribution system9.  </w:t>
        <w:br/>
        <w:t xml:space="preserve">4 See in particular the decisions of the European Commission M.734 Melitta/Dow-Newco of July 25, 1996, and M.1487 Johnson&amp;Son/Melitta/Cofresco of May 6, 1999.  </w:t>
        <w:br/>
        <w:t xml:space="preserve">5 See in particular the decisions M.734, M.1487, No. 10-DCC-68, and No. 14-DCC-01 cited above.  </w:t>
        <w:br/>
        <w:t xml:space="preserve">6 See in particular the decisions M.734 and M.1487 cited above.  </w:t>
        <w:br/>
        <w:t xml:space="preserve">7 See in particular the decision of the European Commission M.623 Kimberly-Clark/Scott of January 16, 1996, and the decision of the Competition Authority No. 16-DCC-59 of April 19, 2016, regarding the exclusive control of the cooperatives Colarena Presqu’île, Poitouraine, UCAL-CP, Laiterie Coopérative du Pays de Gâtine, Coopérative Fromagerie de Chaunay, Monts Laits, and Val Sud by the agricultural cooperative Agrial.  </w:t>
        <w:br/>
        <w:t xml:space="preserve">8 See in particular the decision of the Competition Authority No. 09-DCC-26 of July 24, 2009, regarding the acquisition of the company Camif Collectivités by the company Manutan International.  </w:t>
        <w:br/>
        <w:t>9 See in particular the decisions No. 10-DCC-68 and No. 14-DCC-01 cited above.</w:t>
      </w:r>
    </w:p>
    <w:p>
      <w:r>
        <w:rPr>
          <w:b/>
        </w:rPr>
        <w:t>[Pages 4–6]</w:t>
      </w:r>
    </w:p>
    <w:p>
      <w:r>
        <w:t>19. A supranational geographical dimension (European or a subset of European countries) has also been considered by the European Commission10.</w:t>
      </w:r>
    </w:p>
    <w:p>
      <w:r>
        <w:t>20. In this case, the question of the exact delimitation of these service markets can be left open, insofar as, regardless of the segmentation chosen, the conclusions of the competitive analysis remain unchanged.</w:t>
      </w:r>
    </w:p>
    <w:p>
      <w:r>
        <w:t>III. Competitive Analysis</w:t>
      </w:r>
    </w:p>
    <w:p>
      <w:r>
        <w:t>A. ANALYSIS OF HORIZONTAL EFFECTS</w:t>
      </w:r>
    </w:p>
    <w:p>
      <w:r>
        <w:t>1. PACKAGING SUPPLY MARKETS</w:t>
      </w:r>
    </w:p>
    <w:p>
      <w:r>
        <w:t>21. At the European level, the combined market shares of the parties are below 20%, regardless of the segment examined. Furthermore, the new entity continues to face competition from numerous players with significant positions in these markets, such as the companies Cedo, Europackaging, Plus Pack, Cofresco, Guillin, and Mettler.</w:t>
      </w:r>
    </w:p>
    <w:p>
      <w:r>
        <w:t>22. Consequently, the notified operation is not likely to harm competition through horizontal effects in the European packaging supply markets.</w:t>
      </w:r>
    </w:p>
    <w:p>
      <w:r>
        <w:t>23. At the national level, the positions of the parties are below the following market shares11:</w:t>
      </w:r>
    </w:p>
    <w:p>
      <w:r>
        <w:t>Supply of New</w:t>
        <w:br/>
        <w:t>SPhere AEF Main competitors</w:t>
        <w:br/>
        <w:t>wholesalers entity</w:t>
        <w:br/>
        <w:t>GD Emballage: [20-30]%</w:t>
        <w:br/>
        <w:t>[50-60]%</w:t>
        <w:br/>
        <w:t>Waste bags [0-5]% [50-60]% Barbier: [10-20]%</w:t>
        <w:br/>
        <w:t>Cedo: [10-20]%</w:t>
        <w:br/>
        <w:t>Evenplast: [10-20]%</w:t>
        <w:br/>
        <w:t>Papers, films, and sheets (excluding</w:t>
        <w:br/>
        <w:t>[5-10]% [5-10]% [10-20]% MB Pack: [10-20]%</w:t>
        <w:br/>
        <w:t>baking paper)</w:t>
        <w:br/>
        <w:t>GD Emballage: [10-20]%</w:t>
        <w:br/>
        <w:t>Guillin: [50-60]%</w:t>
        <w:br/>
        <w:t>Food bags [5-10]% [20-30]% [20-30]% Aluplast: [10-20]%</w:t>
        <w:br/>
        <w:t>Plus Pack: [10-20]%</w:t>
        <w:br/>
        <w:t>Evenplast: [20-30]%</w:t>
        <w:br/>
        <w:t>Barbier: [20-30]%</w:t>
        <w:br/>
        <w:t>Reusable bags [5-10]% [0-5]% [5-10]%</w:t>
        <w:br/>
        <w:t>Groupe Raja/Cenpac: [10-20]%</w:t>
      </w:r>
    </w:p>
    <w:p>
      <w:r>
        <w:t>10 See in particular the decision of the European Commission M.581 Frantschach/Bischop und Klein of August 28, 1995, and the decisions M.734 and M.1487 mentioned above.</w:t>
      </w:r>
    </w:p>
    <w:p>
      <w:r>
        <w:t>11 The notifying party has provided estimates of the maximum market shares of SPhere and AEF, as well as their main competitors, which explains a total market share exceeding 100% for certain markets.</w:t>
      </w:r>
    </w:p>
    <w:p>
      <w:r>
        <w:t>24. With the exception of the national market for the supply of waste bags, the market shares of the new entity are below [20-30]%. In each of these markets, it will face competition from several companies that also have significant market shares.</w:t>
      </w:r>
    </w:p>
    <w:p>
      <w:r>
        <w:t>25. In the national market for the supply of waste bags, SPhere and AEF have a maximum combined market share estimated at [50-60]%, but the increment in market share resulting from the operation is less than 1 point. The Authority considers in this regard, “[i]n cases where one of the parties to the operation holds extremely low market shares (less than 2%), [that] the operation, in principle, does not harm competition, unless these shares reinforce an already very strong position”12. In this case, the Authority considers that AEF has only a marginal activity in this market and, consequently, exerted no competitive pressure on SPhere prior to the operation. The new entity will also continue to face competition from several groups that possess non-negligible market shares, particularly the companies GD Emballages ([20-30]%), Barbier ([10-20]%), and Cedo ([10-20]%).</w:t>
      </w:r>
    </w:p>
    <w:p>
      <w:r>
        <w:t>26. Consequently, the notified operation is not likely to harm competition through horizontal effects in the national packaging supply markets.</w:t>
      </w:r>
    </w:p>
    <w:p>
      <w:r>
        <w:t>2. DOWNSTREAM MARKETS FOR WHOLESALE DISTRIBUTION OF PACKAGING</w:t>
      </w:r>
    </w:p>
    <w:p>
      <w:r>
        <w:t>a) Wholesale distribution markets for packaging intended for professionals</w:t>
      </w:r>
    </w:p>
    <w:p>
      <w:r>
        <w:t>27. At the national level, the positions of the parties are below the following market shares:</w:t>
      </w:r>
    </w:p>
    <w:p>
      <w:r>
        <w:t>Wholesale distribution to New</w:t>
        <w:br/>
        <w:t>SPhere AEF Main competitors</w:t>
        <w:br/>
        <w:t>professionals (including entity</w:t>
        <w:br/>
        <w:t>local authorities)</w:t>
        <w:br/>
        <w:t>Barbier: [20-30]%</w:t>
        <w:br/>
        <w:t>Waste bags [10-20]% [0-5]% [10-20]%</w:t>
        <w:br/>
        <w:t>GD Emballage: [20-30]%</w:t>
        <w:br/>
        <w:t>Promosac: [10-20]%</w:t>
        <w:br/>
        <w:t>Mettler: [20-30]%</w:t>
        <w:br/>
        <w:t>Reusable bags [5-10]% [0-5]% [5-10]%</w:t>
        <w:br/>
        <w:t>Evenplast: [20-30]%</w:t>
        <w:br/>
        <w:t>Barbier: [20-30]%</w:t>
        <w:br/>
        <w:t>Mettler: [20-30]%</w:t>
        <w:br/>
        <w:t>Papers, films, and sheets [0-5]% [20-30]% [20-30]%</w:t>
        <w:br/>
        <w:t>Mupa: [10-20]%</w:t>
        <w:br/>
        <w:t>Evenplast: [10-20]%</w:t>
        <w:br/>
        <w:t>Mettler: [30-40]%</w:t>
        <w:br/>
        <w:t>Food bags [0-5]% [30-40]% [30-40]%</w:t>
        <w:br/>
        <w:t>Barbier: [20-30]%</w:t>
        <w:br/>
        <w:t>Evenplast: [20-30]%</w:t>
        <w:br/>
        <w:t>Guillin: [50-60]%</w:t>
        <w:br/>
        <w:t>Trays and boxes [0-5]% [5-10]% [5-10]%</w:t>
        <w:br/>
        <w:t>Plus Pack: [20-30]%</w:t>
      </w:r>
    </w:p>
    <w:p>
      <w:r>
        <w:t>12 Guidelines of the Competition Authority regarding the control of concentrations, point 398.</w:t>
      </w:r>
    </w:p>
    <w:p>
      <w:r>
        <w:t>Comital: [10-20]%</w:t>
      </w:r>
    </w:p>
    <w:p>
      <w:r>
        <w:t>28. With the exception of the wholesale distribution market for food bags to professionals, the positions of the new entity are below [20-30]%. In each of these markets, it will face competition from several players with more significant positions, such as the companies Mettler, Guillin, or GD Emballage.</w:t>
      </w:r>
    </w:p>
    <w:p>
      <w:r>
        <w:t>29. In the wholesale distribution market for food bags to professionals, the market share of the new entity remains below [40-50]%. The increment resulting from this operation is also below [0-5] points. Furthermore, the new entity will remain subject to competition from the companies Mettler ([30-40]%), Barbier ([20-30]%), and Evenplast ([20-30]%) in this market.</w:t>
      </w:r>
    </w:p>
    <w:p>
      <w:r>
        <w:t>30. Consequently, the notified operation is not likely to harm competition through horizontal effects in the wholesale distribution markets for packaging intended for professionals.</w:t>
      </w:r>
    </w:p>
    <w:p>
      <w:r>
        <w:t>b) The wholesale distribution market for packaging to retail businesses for resale to individuals</w:t>
      </w:r>
    </w:p>
    <w:p>
      <w:r>
        <w:t>31. At the national level, the positions of the parties are below the following market shares13:</w:t>
      </w:r>
    </w:p>
    <w:p>
      <w:r>
        <w:t>Wholesale distribution for New</w:t>
        <w:br/>
        <w:t>SPhere AEF Competitors</w:t>
        <w:br/>
        <w:t>resale to individuals entity</w:t>
        <w:br/>
        <w:t>Vicbag: [20-30]%</w:t>
        <w:br/>
        <w:t>Reusable bags [0-5]% [20-30]% [20-30]%</w:t>
        <w:br/>
        <w:t>Mettler: [20-30]%</w:t>
        <w:br/>
        <w:t>Evenplast: [10-20]%</w:t>
        <w:br/>
        <w:t>Cedo: [20-30]%</w:t>
        <w:br/>
        <w:t>Aluminum sheets [40-50]% [0-5]% [40-50]%</w:t>
        <w:br/>
        <w:t>Cofresco: [10-20]%</w:t>
        <w:br/>
        <w:t>Victor: [10-20]%</w:t>
        <w:br/>
        <w:t>Cofresco: [20-30]%</w:t>
        <w:br/>
        <w:t>Trays and boxes [30-40]% [0-5]% [30-40]%</w:t>
        <w:br/>
        <w:t>Cedo: [10-20]%</w:t>
        <w:br/>
        <w:t>Comital: [10-20]%</w:t>
        <w:br/>
        <w:t>Cofresco: [20-30]%</w:t>
        <w:br/>
        <w:t>Baking papers [60-70]% [0-5]% [60-70]%</w:t>
        <w:br/>
        <w:t>Cedo: [10-20]%</w:t>
        <w:br/>
        <w:t>ITS: [10-20]%</w:t>
        <w:br/>
        <w:t>Cedo: [20-30]%</w:t>
        <w:br/>
        <w:t>Stretch films [30-40]% [0-5]% [30-40]%</w:t>
        <w:br/>
        <w:t>ITS: [20-30]%</w:t>
        <w:br/>
        <w:t>Cofresco: [10-20]%</w:t>
        <w:br/>
        <w:t>Cedo: [20-30]%</w:t>
        <w:br/>
        <w:t>Waste bags [40-50]% [5-10]% [50-60]%</w:t>
        <w:br/>
        <w:t>Barbier: [20-30]%</w:t>
        <w:br/>
        <w:t>Cofresco: [10-20]%</w:t>
        <w:br/>
        <w:t>Food bags [40-50]% [0-5]% [40-50]%</w:t>
        <w:br/>
        <w:t>Cedo: [20-30]%</w:t>
      </w:r>
    </w:p>
    <w:p>
      <w:r>
        <w:t>13 The notifying party has provided estimates of the maximum market shares of SPhere and AEF, as well as their main competitors, which explains a total market share exceeding 100% for certain markets.</w:t>
      </w:r>
    </w:p>
    <w:p>
      <w:r>
        <w:rPr>
          <w:b/>
        </w:rPr>
        <w:t>[Pages 7–9]</w:t>
      </w:r>
    </w:p>
    <w:p>
      <w:r>
        <w:t>Cofresco: [10-20]%</w:t>
      </w:r>
    </w:p>
    <w:p>
      <w:r>
        <w:t>Quickpack: [5-10]%</w:t>
      </w:r>
    </w:p>
    <w:p>
      <w:r>
        <w:t>32. In the markets for the wholesale distribution of reusable bags, aluminum foil, stretch films, food bags, trays and boxes, and waste bags to retail businesses for resale to individuals, the market shares of the new entity are below [50-60]%, with an increment of less than [5-10] points. The new entity will face competition in each of these markets from several players, each holding significant market shares (above 10%), such as the companies Vicbag, Mettler, Cofresco, or Cedo.</w:t>
      </w:r>
    </w:p>
    <w:p>
      <w:r>
        <w:t>33. In the wholesale distribution market of cooking papers to retail businesses for resale to individuals, the maximum market share of the new entity is [60-70]%. However, the increment resulting from the operation is less than [0-5] points. AEF only has a marginal activity in these markets and, in any case, does not exert any competitive pressure on SPhere, unlike its two main competitors Cofresco and Cedo, which hold market shares above 15%. ITS (for cooking papers) is also a player with a significant position ([10-20]%). The presence of these competitors is likely to ensure the proper functioning of competition in this market, which would not be called into question by the disappearance of a marginal player14.</w:t>
      </w:r>
    </w:p>
    <w:p>
      <w:r>
        <w:t>34. Consequently, the notified operation is not likely to harm competition through horizontal effects.</w:t>
      </w:r>
    </w:p>
    <w:p>
      <w:r>
        <w:t>3. ANALYSIS OF VERTICAL EFFECTS</w:t>
      </w:r>
    </w:p>
    <w:p>
      <w:r>
        <w:t>35. A vertical concentration can restrict competition by making access to the markets where the new entity will be active more difficult, or even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36. However, the decision-making practice generally holds that a risk of vertical effect can be ruled out as long as the market share of the entity resulting from the operation in the relevant markets does not exceed 30%15.</w:t>
      </w:r>
    </w:p>
    <w:p>
      <w:r>
        <w:t>37. In this case, there is a vertical relationship between the supply of packaging and the wholesale distribution of packaging and household consumables. The new entity will have market shares exceeding 30% in several markets: upstream, in the supply of wholesalers for waste bags ([50-60]%), and downstream, in the distribution of food bags for professionals ([30-40]%) and wholesale distribution to retail businesses for resale to individuals of aluminum foil ([40-50]%), trays and boxes ([30-40]%), waste bags ([50-60]%), cooking papers ([60-70]%), stretch films ([30-40]%), and food bags ([40-50]%).</w:t>
      </w:r>
    </w:p>
    <w:p>
      <w:r>
        <w:t>14 AEF is not able in the markets for household packaging aimed at individuals to adopt competitive behavior that would qualify it as a maverick. As developed in paragraph 35, AEF distributes household packaging (excluding reusable bags) directly to each supermarket and can only have a limited impact on the degree of competition at the national level in response to tenders.</w:t>
      </w:r>
    </w:p>
    <w:p>
      <w:r>
        <w:t>15 Guidelines of the Competition Authority regarding the control of concentrations, point 453.</w:t>
      </w:r>
    </w:p>
    <w:p>
      <w:r>
        <w:t>a) Waste Bags</w:t>
      </w:r>
    </w:p>
    <w:p>
      <w:r>
        <w:t>38. For these products, the new entity will have market shares exceeding 30%, both in the upstream market and in the downstream markets.</w:t>
      </w:r>
    </w:p>
    <w:p>
      <w:r>
        <w:t>39. The risks of vertical effects can be ruled out in these markets, as they do not specifically result from this operation. The position of the new entity, both in the upstream market and in the downstream markets, results from that held by SPhere, with the increment in market share resulting from the operation being less than [5-10] points.</w:t>
      </w:r>
    </w:p>
    <w:p>
      <w:r>
        <w:t>40. Thus, as shown above, the operation does not have the effect of eliminating a source of competitive pressure on SPhere, so that the incentives to enter into a lock-in strategy would not result from this operation.</w:t>
      </w:r>
    </w:p>
    <w:p>
      <w:r>
        <w:t>41. Furthermore, if the new entity reduces the supply of waste bags produced by SPhere to its competitors, these competitors have, in any case, significant alternative suppliers to source from, such as GD Emballage ([20-30]%), Barbier ([10-20]%), and Cedo ([10-20]%).</w:t>
      </w:r>
    </w:p>
    <w:p>
      <w:r>
        <w:t>Consequently, the operation is not likely to harm competition through vertical effects in the markets for the supply and distribution of waste bags.</w:t>
      </w:r>
    </w:p>
    <w:p>
      <w:r>
        <w:t>b) Other Types of Packaging</w:t>
      </w:r>
    </w:p>
    <w:p>
      <w:r>
        <w:t>42. For these products, the new entity will have market shares exceeding 30% in the downstream markets.</w:t>
      </w:r>
    </w:p>
    <w:p>
      <w:r>
        <w:t>43. With the exception of the distribution of food bags for professionals, SPhere held strong positions in these markets prior to the operation.</w:t>
      </w:r>
    </w:p>
    <w:p>
      <w:r>
        <w:t>44. However, the increment in market shares resulting from the operation is less than [5-10] points and, as shown above, the operation does not have the effect of eliminating a source of competitive pressure on SPhere, so that the incentives to enter into a lock-in strategy would not result from this operation.</w:t>
      </w:r>
    </w:p>
    <w:p>
      <w:r>
        <w:t>45. Finally, to implement a customer lock-in strategy, "the entity resulting from the operation must be able to control essential outlets for upstream players"16. However, in these markets, SPhere currently sources from third-party competitors only sporadically and to a limited extent. In 2016, these supplies represented less than [5-10]% of its turnover. Furthermore, in these markets, AEF has market shares below [5-10]% and consequently does not constitute an essential outlet for SPhere's competing manufacturers.</w:t>
      </w:r>
    </w:p>
    <w:p>
      <w:r>
        <w:t>46. Regarding the distribution of food bags for professionals, the position of the new entity results from that of AEF, with SPhere's market share being below [0-5]%.</w:t>
      </w:r>
    </w:p>
    <w:p>
      <w:r>
        <w:t>47. In this market, the implementation of a lock-in strategy is limited by the existence of significant competitors, such as Mettler ([30-40]%), Barbier ([20-30]%), and Evenplast ([20-30%]) who are able to limit the effectiveness of such a scenario.</w:t>
      </w:r>
    </w:p>
    <w:p>
      <w:r>
        <w:t>48. In any case, for each type of packaging, there is at least one competitor that is also integrated:</w:t>
      </w:r>
    </w:p>
    <w:p>
      <w:r>
        <w:t>16 Guidelines of the Competition Authority regarding the control of concentrations, point 456.</w:t>
      </w:r>
    </w:p>
    <w:p>
      <w:r>
        <w:t>Products          Integrated Competitors</w:t>
        <w:br/>
        <w:t>Waste Bags       GD Emballages</w:t>
        <w:br/>
        <w:t>Reusable Bags    Barbier</w:t>
        <w:br/>
        <w:t>Papers, Films, and Foil  Evenplast</w:t>
        <w:br/>
        <w:t>Cooking Paper    Thiolat</w:t>
        <w:br/>
        <w:t>Trays and Boxes  Guillin</w:t>
        <w:br/>
        <w:t>Food Bags       Cedo</w:t>
      </w:r>
    </w:p>
    <w:p>
      <w:r>
        <w:t>49. Consequently, the operation is not likely to harm competition through vertical effects in the markets for the distribution of household packaging.</w:t>
      </w:r>
    </w:p>
    <w:p>
      <w:r>
        <w:t>4. ANALYSIS OF CONGLOMERATE EFFECTS</w:t>
      </w:r>
    </w:p>
    <w:p>
      <w:r>
        <w:t>50. A concentration has conglomerate effects when the new entity extends or strengthens its presence in several markets whose connectivity may allow it to increase its market power. The decision-making practice of competition authorities generally considers that a risk of conglomerate effect can be ruled out as long as the share of the entity resulting from the operation in the relevant markets does not exceed 30%17.</w:t>
      </w:r>
    </w:p>
    <w:p>
      <w:r>
        <w:t>51. In this case, the new entity will have market shares exceeding 30% in (i) the market for the supply of waste bags, (ii) the distribution of food bags for professionals, and (iii) the wholesale distribution to retail businesses for resale to individuals of aluminum foil, trays and boxes (in aluminum), waste bags, cooking papers, stretch films, and food bags.</w:t>
      </w:r>
    </w:p>
    <w:p>
      <w:r>
        <w:t>52. However, any risk of conglomerate effect resulting from the operation can be ruled out.</w:t>
      </w:r>
    </w:p>
    <w:p>
      <w:r>
        <w:t>53. First, the tendering process in the wholesale distribution markets for household packaging strongly limits the new entity's ability to implement linked selling strategies. Indeed, the vast majority of the parties' sales result from won tenders. Thus, SPhere estimates that […]% of its sales are made within the framework of tenders, while for AEF, this proportion reaches […]% of its sales to supermarkets, […]% of its sales in out-of-home catering, and […]% of its sales to wholesalers.</w:t>
      </w:r>
    </w:p>
    <w:p>
      <w:r>
        <w:t>54. Second, having a range of products aimed at both professionals and individuals is not a decisive selling point, as supermarkets, which acquire both types of products, generally have distinct buyers for these markets.</w:t>
      </w:r>
    </w:p>
    <w:p>
      <w:r>
        <w:t>55. Finally, the existence of numerous competitors with a wide product portfolio (Cedo, Cofresco, Evenplast, Mettler, Orapi, PLG,…) and the diversification strategies of certain clients strongly limit the effect of holding a product portfolio in these markets.</w:t>
      </w:r>
    </w:p>
    <w:p>
      <w:r>
        <w:t>56. Consequently, the operation is not likely to harm competition through conglomerate effects in the markets for household packaging.</w:t>
      </w:r>
    </w:p>
    <w:p>
      <w:r>
        <w:t>17 Guidelines of the Competition Authority regarding the control of concentrations, point 483.</w:t>
      </w:r>
    </w:p>
    <w:p>
      <w:r>
        <w:rPr>
          <w:b/>
        </w:rPr>
        <w:t>[Pages 10–10]</w:t>
      </w:r>
    </w:p>
    <w:p>
      <w:r>
        <w:t>DECIDES</w:t>
      </w:r>
    </w:p>
    <w:p>
      <w:r>
        <w:t>Sole Article: The operation notified under number 17-055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