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https://www.autoritedelaconcurrence.fr/fr/decision-de-controle-des-concentrations/relative-la-prise-de-controle-exclusif-de-la-societe-aegide</w:t>
      </w:r>
    </w:p>
    <w:p>
      <w:r>
        <w:t>Pages translated : 2</w:t>
      </w:r>
    </w:p>
    <w:p/>
    <w:p>
      <w:r>
        <w:rPr>
          <w:b/>
        </w:rPr>
        <w:t>[Pages 1–2]</w:t>
      </w:r>
    </w:p>
    <w:p>
      <w:r>
        <w:t xml:space="preserve">FRENCH REPUBLIC  </w:t>
        <w:br/>
        <w:t xml:space="preserve">Decision No. 21-DCC-98 of June 22, 2021  </w:t>
        <w:br/>
        <w:t xml:space="preserve">regarding the exclusive control acquisition of the company Aegide by the  </w:t>
        <w:br/>
        <w:t xml:space="preserve">AG2R La Mondiale group  </w:t>
        <w:br/>
        <w:t>The Competition Authority,</w:t>
      </w:r>
    </w:p>
    <w:p>
      <w:r>
        <w:t xml:space="preserve">Having regard to the complete notification file submitted to the mergers department on May 31, 2021,  </w:t>
        <w:br/>
        <w:t xml:space="preserve">concerning the exclusive control acquisition of the company Aegide by the AG2R La Mondiale group,  </w:t>
        <w:br/>
        <w:t>formalized by a share transfer agreement dated May 28, 2021;</w:t>
      </w:r>
    </w:p>
    <w:p>
      <w:r>
        <w:t xml:space="preserve">Having regard to Book IV of the Commercial Code relating to the freedom of prices and competition, and  </w:t>
        <w:br/>
        <w:t>in particular its Articles L. 430-1 to L. 430-7;</w:t>
      </w:r>
    </w:p>
    <w:p>
      <w:r>
        <w:t>Having regard to the additional elements provided by the notifying party during the investigation;</w:t>
      </w:r>
    </w:p>
    <w:p>
      <w:r>
        <w:t xml:space="preserve">Adopts the following decision:  </w:t>
        <w:br/>
        <w:t xml:space="preserve">1. The notified operation consists of the exclusive control acquisition of the company Aegide, active  </w:t>
        <w:br/>
        <w:t xml:space="preserve">principally in the sectors of real estate promotion and management of service residences for individuals, by the AG2R La Mondiale group, primarily active in the personal insurance sector.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