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https://www.autoritedelaconcurrence.fr/fr/decision-de-controle-des-concentrations/relative-la-prise-de-controle-exclusif-de-la-societe-afibel</w:t>
      </w:r>
    </w:p>
    <w:p>
      <w:r>
        <w:t>Pages translated : 6</w:t>
      </w:r>
    </w:p>
    <w:p/>
    <w:p>
      <w:r>
        <w:rPr>
          <w:b/>
        </w:rPr>
        <w:t>[Pages 1–3]</w:t>
      </w:r>
    </w:p>
    <w:p>
      <w:r>
        <w:t xml:space="preserve">FRENCH REPUBLIC  </w:t>
        <w:br/>
        <w:t xml:space="preserve">Decision No. 10-DCC-77 of July 9, 2010  </w:t>
        <w:br/>
        <w:t>regarding the exclusive control of Afibel SAS by Damartex SA</w:t>
      </w:r>
    </w:p>
    <w:p>
      <w:r>
        <w:t xml:space="preserve">The Competition Authority,  </w:t>
        <w:br/>
        <w:t xml:space="preserve">Having regard to the notification file sent to the merger service on May 21, 2010, and declared complete on June 8, 2010, concerning the acquisition by Damartex SA of Afibel SAS, formalized by a memorandum of understanding dated May 3, 2010;  </w:t>
        <w:br/>
        <w:t xml:space="preserve">Having regard to Book IV of the Commercial Code relating to the freedom of prices and competition, and in particular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Damartex is primarily active, under the Damart brand, in the marketing of ready-to-wear articles and underwear, through a network of 140 stores in Europe as well as a distance selling network. Damartex is owned at [&gt; 50%] of the shares and [&gt; 50%] of the voting rights by JPJ-D SCA, at [&lt; 10%] of the shares and [&lt; 10%] of the voting rights by FAAC Holding SAS, the remainder of the capital and voting rights being held by the X family and by other unidentified shareholders. JPJ-D is a family holding company owned at […] by the X family and at […] by Compagnie financière industrielle SA. None of the minority shareholders hold rights exceeding the protection of their financial interests, the X family exercises exclusive control over Damartex. Damartex achieved in 2009, the last closed fiscal year, a consolidated worldwide turnover excluding taxes of 503.2 million, of which 321.4 million was in France.  </w:t>
        <w:br/>
        <w:t xml:space="preserve">2. Afibel's main activity is the mail order sale of non-food products and operates a women's ready-to-wear store in Lille. It holds […] of the shares and voting rights of Aubert Tissus, which is engaged in the mail order sale of all types of hygiene and comfort products. Afibel is 100% owned by Primondo Speciality Group GmbH. Afibel achieved in 2009, the last closed fiscal year, a consolidated worldwide turnover excluding taxes of 149 million, of which 136 million was in France.  </w:t>
        <w:br/>
        <w:t xml:space="preserve">3. The operation, formalized by a memorandum of understanding dated May 3, 2010, consists of the acquisition by Damartex of 100% of the shares and voting rights of Afibel and its subsidiary Aubert Tissus.  </w:t>
        <w:br/>
        <w:t>4. As it results in the exclusive control by Damartex of Afibel, the notified operation constitutes a concentration within the meaning of Article L. 430-1 of the Commercial Code. Given the turnovers of the companies concerned, it does not have a Community dimension. However, the control thresholds mentioned by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5. In the retail sector, competition authorities recognize two categories of markets: (i) downstream markets, which bring together companies and the final consumer, and (ii) upstream supply markets.  </w:t>
        <w:br/>
        <w:t>6. In downstream markets, a first distinction opposes food retail to non-food retail. In this case, the parties are only present in the non-food retail distribution sector.</w:t>
      </w:r>
    </w:p>
    <w:p>
      <w:r>
        <w:t xml:space="preserve">A. DOWNSTREAM MARKETS OF NON-FOOD RETAIL DISTRIBUTION  </w:t>
        <w:br/>
        <w:t xml:space="preserve">1. PRODUCT MARKETS  </w:t>
        <w:br/>
        <w:t xml:space="preserve">7. Regarding the distribution of non-food products, both national and Community competition authorities distinguish different product families and different distribution channels.  </w:t>
        <w:br/>
        <w:t xml:space="preserve">8. In this case, the parties are simultaneously active in the marketing of women's clothing, men's clothing, underwear, shoes, and products referred to as "comfort" designed to facilitate the lives of elderly people (walking sticks, "grabbers," "leg rests," toilet seat risers, etc.).  </w:t>
        <w:br/>
        <w:t xml:space="preserve">9. The parties also market health and beauty items, decorative household items, home textiles, kitchen utensils, and cleaning products, but there is no need in this case to conduct a detailed analysis of these product families, for which the operation poses no competition problem regardless of the market delineation.  </w:t>
        <w:br/>
        <w:t xml:space="preserve">10. Regarding distribution channels, decisional practice distinguishes between in-store sales and distance sales, encompassing all distance sales channels. For in-store sales, a further distinction can be made, for certain product families, based on the type of stores, for example by distinguishing large retail stores from specialized boutiques.  </w:t>
        <w:br/>
        <w:t xml:space="preserve">11. For each of the product families mentioned in paragraph 8, the parties are simultaneously active in distance sales. Moreover, for the sole family of women's clothing, the parties are simultaneously active in in-store sales, more specifically in sales in specialized boutiques.  </w:t>
        <w:br/>
        <w:t xml:space="preserve">12. Regarding specifically the distance selling of shoes, the parties proposed, by analogy with decisional practice concerning in-store sales, to make a distinction between indoor shoes, including slippers, and outdoor shoes. In this case, since this hypothesis is the most unfavorable to the parties, the competitive analysis will retain this distinction. Decisional practice has also considered further segmenting the markets by distinguishing specific markets for sports shoes or specialized shoes such as ski boots and safety shoes. In this case, given the positioning of the parties, there is no need to question these segmentations to assess the effects of the operation on the distance selling markets for shoes.  </w:t>
        <w:br/>
        <w:t xml:space="preserve">13. Regarding specifically the distance selling of underwear, the parties made a distinction between women's lingerie and men's underwear. Regarding in-store sales, previous decisional practice indeed considered that women's lingerie constituted a distinct market, particularly given the existence of specialized stores. However, this distinction does not have the same relevance for distance selling as the major players in this sector, such as La Redoute or 3 Suisses, offer both product families. In this case, the results of the competitive analysis remain unchanged, whether it is conducted on a global market or on each of the two segments. The question can therefore remain open.  </w:t>
        <w:br/>
        <w:t xml:space="preserve">14. The parties also proposed to make an additional distinction for distance selling of clothing and underwear by isolating specific market segments for the "senior" clientele (50 years and older). However, while this customer category corresponds to the specific commercial positioning of the parties, the substitutability, from the perspective of consumers, of the different ranges of clothing is very subjective. Furthermore, the main distance sellers offer broad product ranges for all ages.  </w:t>
        <w:br/>
        <w:t>15. Regarding in-store sales of women's clothing, decisional practice has also considered an additional segmentation based on the product range (entry-level, mid-range, high-end). In this case, the overlap of the parties' activities is limited to the mid-range segment of women's clothing sales in specialized boutiques.</w:t>
      </w:r>
    </w:p>
    <w:p>
      <w:r>
        <w:rPr>
          <w:b/>
        </w:rPr>
        <w:t>[Pages 4–6]</w:t>
      </w:r>
    </w:p>
    <w:p>
      <w:r>
        <w:t xml:space="preserve">16. The competitive analysis on downstream markets will therefore be conducted on the distance selling of women's clothing, men's clothing, women's lingerie, men's underwear, indoor shoes, outdoor shoes, and comfort products for the elderly, as well as on the physical sale in specialized stores of women's clothing, particularly in the mid-range segment.  </w:t>
        <w:br/>
        <w:t xml:space="preserve">2. GEOGRAPHICAL MARKETS  </w:t>
        <w:br/>
        <w:t xml:space="preserve">a) The downstream market of in-store sales of women's clothing in specialized boutiques  </w:t>
        <w:br/>
        <w:t xml:space="preserve">17. The decisional practice5 has, on several occasions, adopted a local delineation for the market of in-store sales of women's clothing and conducted an analysis on catchment areas of 20 minutes by car around each store.  </w:t>
        <w:br/>
        <w:t xml:space="preserve">18. In this case, the activities of the parties overlap only in the city of Lille.  </w:t>
        <w:br/>
        <w:t xml:space="preserve">b) The downstream markets of distance selling of non-food products  </w:t>
        <w:br/>
        <w:t xml:space="preserve">19. Regarding the distance distribution of non-food products, national and Community authorities have, in previous decisions6, adopted a national delineation, taking into account linguistic differences, the heterogeneity of consumer habits, as well as delivery costs and times.  </w:t>
        <w:br/>
        <w:t xml:space="preserve">20. There is no reason to challenge this delineation in the present decision.  </w:t>
        <w:br/>
        <w:t xml:space="preserve">B. THE UPSTREAM MARKETS OF SUPPLY  </w:t>
        <w:br/>
        <w:t xml:space="preserve">1. THE PRODUCT MARKETS  </w:t>
        <w:br/>
        <w:t xml:space="preserve">21. Both Damartex and Afibel purchase from various producers the majority of the items they subsequently market to individuals.  </w:t>
        <w:br/>
        <w:t xml:space="preserve">22. In the distribution sector, national decisional practice considers that, insofar as producers cannot easily convert to the manufacture of other products than their own, it is appropriate to distinguish as many markets as there are families of products. In this case, the different items marketed by the parties belong to the families identified above in paragraphs 8 and 9.  </w:t>
        <w:br/>
        <w:t xml:space="preserve">2. THE GEOGRAPHICAL MARKETS  </w:t>
        <w:br/>
        <w:t xml:space="preserve">The markets for the supply of clothing and shoes have been defined by the French authorities as being of a global dimension7.  </w:t>
        <w:br/>
        <w:t xml:space="preserve">5 Letters from the Minister of Economy n° C2008-04 of May 7, 2008 and n° C2007-28 of June 28, 2007  </w:t>
        <w:br/>
        <w:t xml:space="preserve">6 See decisions n°09-DCC-26, n° 10-DCC-42 of May 25, 2010 and n°COMP/M.5721 mentioned above.  </w:t>
        <w:br/>
        <w:t xml:space="preserve">7 See notably the letters from the Minister of Economy n°C2008-004 of February 13, 2008 and n°C2008-016 of April 30, 2008.  </w:t>
        <w:br/>
        <w:t>4</w:t>
      </w:r>
    </w:p>
    <w:p>
      <w:r>
        <w:t xml:space="preserve">III. Competitive Analysis  </w:t>
        <w:br/>
        <w:t xml:space="preserve">A. LILLOIS MARKET FOR THE RETAIL SALE OF WOMEN'S CLOTHING IN SPECIALIZED BOUTIQUES  </w:t>
        <w:br/>
        <w:t xml:space="preserve">23. As indicated above, the in-store sales activities of women's clothing of the parties overlap in the city of Lille and its metropolitan area with the presence of three points of sale operated by Damartex and one point of sale operated by Afibel.  </w:t>
        <w:br/>
        <w:t xml:space="preserve">24. In the mid-range segment, the combined market share of the parties will be less than [&lt; 10%]. For all sales of women's clothing, this market share is even lower. Moreover, the parties face the presence of numerous competitors.  </w:t>
        <w:br/>
        <w:t xml:space="preserve">25. Therefore, the operation is not likely to harm competition in this market.  </w:t>
        <w:br/>
        <w:t xml:space="preserve">B. THE DOWNSTREAM MARKETS OF DISTANCE SELLING OF CLOTHING, UNDERWEAR, SHOES, AND COMFORT PRODUCTS  </w:t>
        <w:br/>
        <w:t xml:space="preserve">26. The parties based their calculation of their turnover share in each product family on figures established by FEVAD and by the TNS – Sofres institute. Since not all companies engaged in distance selling are members of FEVAD, some distributors active in these markets were not taken into account. However, they were unable to assess the total sales in these markets. Thus, the figures provided by the parties, and presented in the table below, significantly overestimate their actual market shares:  </w:t>
        <w:br/>
        <w:t xml:space="preserve">Distance Selling Damartex Affibel Total  </w:t>
        <w:br/>
        <w:t xml:space="preserve">Men's Clothing [0-5%] [0-5%] [5-10%]  </w:t>
        <w:br/>
        <w:t xml:space="preserve">Women's Clothing [10-20%] [5-10%] [10-20%]  </w:t>
        <w:br/>
        <w:t xml:space="preserve">Men's Underwear [20-30%] [0-5%] [20-30%]  </w:t>
        <w:br/>
        <w:t xml:space="preserve">Women's Underwear [10-20%] [0-5%] [20-30%]  </w:t>
        <w:br/>
        <w:t xml:space="preserve">Outdoor Shoes [0-5%] [0-5%] [10-20%]  </w:t>
        <w:br/>
        <w:t xml:space="preserve">Indoor Shoes [40-50%] [0-5%] [40-50%]  </w:t>
        <w:br/>
        <w:t xml:space="preserve">Comfort Products for the Elderly [5-10%] [0-5%] [10-20%]  </w:t>
        <w:br/>
        <w:t xml:space="preserve">27. Regarding women's clothing, men's clothing, women's underwear, and men's underwear, the parties face competition from the Red Cats groups (notably the brand La Redoute) and 3 Suisses, which hold positions superior to those of the parties, as well as from many other online distributors. For comfort products, the parties specifically face competition from Daxon (Red Cats group), La Blanche Porte (3 Suisses group), and Temps L.  </w:t>
        <w:br/>
        <w:t>5</w:t>
      </w:r>
    </w:p>
    <w:p>
      <w:r>
        <w:t xml:space="preserve">28. The position of the parties is relatively strong in the indoor shoes segment. Their main competitors include, notably, Desmazières ([20-30%] of sales in the analysis perimeter retained by the parties), the Red Cats group ([10-20%]), Sarenza ([10-20%]), and Spartoo ([5-10%]). However, it should be noted that the competitive pressure from in-store shoe sales, primarily in hypermarkets for this type of product, as previously noted by the Minister8, is likely to exert pressure on distance selling. Indeed, distance selling constitutes a relatively marginal channel in shoe sales, approximately [5-10%] of total sales, according to the parties' estimates. Finally, it should be recalled that the figures indicated in the table above overestimate the actual market shares of the parties.  </w:t>
        <w:br/>
        <w:t xml:space="preserve">C. THE UPSTREAM MARKETS OF SUPPLY  </w:t>
        <w:br/>
        <w:t xml:space="preserve">29. For each of the identified product families, the parties represent a negligible share of the total supplies in the global market.  </w:t>
        <w:br/>
        <w:t xml:space="preserve">30. At the national level, the parties represent, for each family, at most [0-5%] of the total supplies in France.  </w:t>
        <w:br/>
        <w:t xml:space="preserve">* * *  </w:t>
        <w:br/>
        <w:t xml:space="preserve">31. Given the above elements, the proposed operation is not likely to harm competition in the relevant markets.  </w:t>
        <w:br/>
        <w:t xml:space="preserve">DECIDES  </w:t>
        <w:br/>
        <w:t xml:space="preserve">Sole Article: The operation notified under number 10-0072 is authorized.  </w:t>
        <w:br/>
        <w:t xml:space="preserve">The President,  </w:t>
        <w:br/>
        <w:t xml:space="preserve">Bruno Lasserre  </w:t>
        <w:br/>
        <w:t xml:space="preserve">Competition Authority  </w:t>
        <w:br/>
        <w:t xml:space="preserve">8 Letter from the Minister n° 2007-43 of May 15, 2007 to the councils of the aforementioned Vivarte company  </w:t>
        <w:br/>
        <w:t>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