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https://www.autoritedelaconcurrence.fr/fr/decision-de-controle-des-concentrations/relative-la-prise-de-controle-exclusif-de-la-societe-agreom</w:t>
      </w:r>
    </w:p>
    <w:p>
      <w:r>
        <w:t>Pages translated : 2</w:t>
      </w:r>
    </w:p>
    <w:p/>
    <w:p>
      <w:r>
        <w:rPr>
          <w:b/>
        </w:rPr>
        <w:t>[Pages 1–2]</w:t>
      </w:r>
    </w:p>
    <w:p>
      <w:r>
        <w:t xml:space="preserve">FRENCH REPUBLIC  </w:t>
        <w:br/>
        <w:t xml:space="preserve">Decision No. 22-DCC-117 of July 5, 2022  </w:t>
        <w:br/>
        <w:t xml:space="preserve">regarding the exclusive control acquisition of the company Agréom by the  </w:t>
        <w:br/>
        <w:t>BPM group</w:t>
      </w:r>
    </w:p>
    <w:p>
      <w:r>
        <w:t>The Competition Authority,</w:t>
      </w:r>
    </w:p>
    <w:p>
      <w:r>
        <w:t xml:space="preserve">Having regard to the notification file sent to the mergers department on May 20, 2022, declared complete on June 16, 2022, concerning the exclusive control acquisition of the company Agréom by the company BPM Agri, a subsidiary of the BPM group, formalized by a letter of intent dated March 21, 2022;  </w:t>
        <w:br/>
        <w:t xml:space="preserve">Having regard to Book IV of the Commercial Code relating to the freedom of prices and competition, and in particular its Articles L. 430-1 to L. 430-7;  </w:t>
        <w:br/>
        <w:t>Having regard to the additional elements provided by the notifying party during the investigation;</w:t>
      </w:r>
    </w:p>
    <w:p>
      <w:r>
        <w:t xml:space="preserve">Adopts the following decision:  </w:t>
        <w:br/>
        <w:t xml:space="preserve">1. The notified operation consists of the exclusive control acquisition of the company Agréom, active in the agricultural equipment sector in the departments of Loire-Atlantique (44), Maine-et-Loire (49), and Deux Sèvres (79), by the BPM group, primarily active in the automotive distribution sector.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22-120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