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https://www.autoritedelaconcurrence.fr/fr/decision-de-controle-des-concentrations/relative-la-prise-de-controle-exclusif-de-la-societe-ajpl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18-DCC-114 of July 12, 2018  </w:t>
        <w:br/>
        <w:t xml:space="preserve">regarding the exclusive control acquisition of the company A.J.P.L by the  </w:t>
        <w:br/>
        <w:t xml:space="preserve">Cooperative U Enseigne  </w:t>
        <w:br/>
        <w:t xml:space="preserve">The Competition Authority,  </w:t>
        <w:br/>
        <w:t xml:space="preserve">Having regard to the complete notification file submitted to the mergers department on June 13, 2018,  </w:t>
        <w:br/>
        <w:t xml:space="preserve">concerning the exclusive control acquisition of the company A.J.P.L by the Cooperative U Enseigne,  </w:t>
        <w:br/>
        <w:t xml:space="preserve">and formalized by a letter of intent dated April 24,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during the investigation by the notifying party;  </w:t>
        <w:br/>
        <w:t xml:space="preserve">Adopts the following decision:  </w:t>
        <w:br/>
        <w:t xml:space="preserve">1. The notified operation consists of the exclusive control acquisition by the Cooperative U Enseigne, of  </w:t>
        <w:br/>
        <w:t xml:space="preserve">the company A.J.P.L, which operates a food-dominant retail outlet with an area of  </w:t>
        <w:br/>
        <w:t xml:space="preserve">2,500 m² with a service station, under the brand Super U, located in Juziers (78). It constitutes a  </w:t>
        <w:br/>
        <w:t xml:space="preserve">concentration operation within the meaning of Article L. 430-1 of the Commercial Code. Given the  </w:t>
        <w:br/>
        <w:t xml:space="preserve">turnover generated by the companies concerned, the operation does not fall under the  </w:t>
        <w:br/>
        <w:t xml:space="preserve">jurisdiction of the European Union. On the other hand, the control thresholds related to retail  </w:t>
        <w:br/>
        <w:t xml:space="preserve">trade mentioned in point II of Article L. 430-2 of the Commercial Code are exceeded. The  </w:t>
        <w:br/>
        <w:t xml:space="preserve">present 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18-123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