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https://www.autoritedelaconcurrence.fr/fr/decision-de-controle-des-concentrations/relative-la-prise-de-controle-exclusif-de-la-societe-akea</w:t>
      </w:r>
    </w:p>
    <w:p>
      <w:r>
        <w:t>Pages translated : 2</w:t>
      </w:r>
    </w:p>
    <w:p/>
    <w:p>
      <w:r>
        <w:rPr>
          <w:b/>
        </w:rPr>
        <w:t>[Pages 1–2]</w:t>
      </w:r>
    </w:p>
    <w:p>
      <w:r>
        <w:t xml:space="preserve">FRENCH REPUBLIC  </w:t>
        <w:br/>
        <w:t xml:space="preserve">Decision No. 26-DCC-85 of April 9, 2026  </w:t>
        <w:br/>
        <w:t xml:space="preserve">regarding the exclusive control acquisition of the company Akéa Energies  </w:t>
        <w:br/>
        <w:t xml:space="preserve">by the Crédit Mutuel Group  </w:t>
        <w:br/>
        <w:t>The Competition Authority,</w:t>
      </w:r>
    </w:p>
    <w:p>
      <w:r>
        <w:t xml:space="preserve">Having regard to the complete notification file submitted to the mergers department on March 17, 2026,  </w:t>
        <w:br/>
        <w:t xml:space="preserve">concerning the exclusive control acquisition of the company Akéa Energies by the Crédit Mutuel Group,  </w:t>
        <w:br/>
        <w:t>formalized by a share transfer agreement signed on February 24, 2026;</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exclusive control acquisition by the Crédit Mutuel Group, via the  </w:t>
        <w:br/>
        <w:t xml:space="preserve">company Devest 22, of the exclusive control of the company Akéa Energies – including its subsidiary  </w:t>
        <w:br/>
        <w:t xml:space="preserve">Assistance Technique Fluides Energies Environnement, to which the exclusive control of the business assets of Hellio Solutions and two subsidiaries of Hellio Solutions, namely Hellio Ingénierie and Hellio Académie, will be transferred in advance. The relevant sector is that of energy savings certificates and energy optimization services.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26-071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