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https://www.autoritedelaconcurrence.fr/fr/decision-de-controle-des-concentrations/relative-la-prise-de-controle-exclusif-de-la-societe-akuo</w:t>
      </w:r>
    </w:p>
    <w:p>
      <w:r>
        <w:t>Pages translated : 2</w:t>
      </w:r>
    </w:p>
    <w:p/>
    <w:p>
      <w:r>
        <w:rPr>
          <w:b/>
        </w:rPr>
        <w:t>[Pages 1–2]</w:t>
      </w:r>
    </w:p>
    <w:p>
      <w:r>
        <w:t xml:space="preserve">FRENCH REPUBLIC  </w:t>
        <w:br/>
        <w:t xml:space="preserve">Decision No. 25-DCC-97 of April 25, 2025  </w:t>
        <w:br/>
        <w:t xml:space="preserve">regarding the exclusive control acquisition of the company Akuo  </w:t>
        <w:br/>
        <w:t xml:space="preserve">by the company Ardian  </w:t>
        <w:br/>
        <w:t xml:space="preserve">The Competition Authority,  </w:t>
        <w:br/>
        <w:t xml:space="preserve">Having regard to the complete notification file sent to the mergers department on March 25, 2025,  </w:t>
        <w:br/>
        <w:t xml:space="preserve">concerning the exclusive control acquisition of the company Akuo by the company Ardian, formalized  </w:t>
        <w:br/>
        <w:t xml:space="preserve">notably by a unilateral purchase promise dated March 24, 2025;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by a newly created French law company ("Jasminfra I"), indirectly controlled by Ardian Infrastructure Fund VI and Ardian Infrastructure Fund VI B, of 100% of the share capital of Akuo, which is active in the sectors of energy transition and renewable energies.  </w:t>
        <w:br/>
        <w:t xml:space="preserve">2. It constitutes a concentration operation within the meaning of Article L. 430-1 of the Commercial Code. Given the revenues generated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3. In light of the elements of the file, the operation is not likely to harm competition in the relevant markets.</w:t>
      </w:r>
    </w:p>
    <w:p>
      <w:r>
        <w:t xml:space="preserve">DECIDES  </w:t>
        <w:br/>
        <w:t xml:space="preserve">Sole Article: The operation notified under number 25-061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