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https://www.autoritedelaconcurrence.fr/fr/decision-de-controle-des-concentrations/relative-la-prise-de-controle-exclusif-de-la-societe-alca</w:t>
      </w:r>
    </w:p>
    <w:p>
      <w:r>
        <w:t>Pages translated : 2</w:t>
      </w:r>
    </w:p>
    <w:p/>
    <w:p>
      <w:r>
        <w:rPr>
          <w:b/>
        </w:rPr>
        <w:t>[Pages 1–2]</w:t>
      </w:r>
    </w:p>
    <w:p>
      <w:r>
        <w:t xml:space="preserve">FRENCH REPUBLIC  </w:t>
        <w:br/>
        <w:t xml:space="preserve">Decision No. 20-DCC-162 of November 17, 2020  </w:t>
        <w:br/>
        <w:t xml:space="preserve">regarding the exclusive control of the company Alca Automobile  </w:t>
        <w:br/>
        <w:t xml:space="preserve">by the company Emil Frey Motors France  </w:t>
        <w:br/>
        <w:t xml:space="preserve">The Competition Authority,  </w:t>
        <w:br/>
        <w:t xml:space="preserve">Having regard to the notification file submitted in full to the mergers department on October 22, 2020,  </w:t>
        <w:br/>
        <w:t xml:space="preserve">regarding the exclusive control of the company Alca Automobile by the company Emil Frey Motors, formalized by a letter of intent dated September 15,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by the company Emil Frey Motors France, active in the automotive distribution sector, of the company Alca Automobile, which operates as a car dealership under the Renault and Dacia brands in Buhl-Lorraine (57), Sarreguemines (57), and Saverne (67).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20-192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