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https://www.autoritedelaconcurrence.fr/fr/decision-de-controle-des-concentrations/relative-la-prise-de-controle-exclusif-de-la-societe-aleda</w:t>
      </w:r>
    </w:p>
    <w:p>
      <w:r>
        <w:t>Pages translated : 16</w:t>
      </w:r>
    </w:p>
    <w:p/>
    <w:p>
      <w:r>
        <w:rPr>
          <w:b/>
        </w:rPr>
        <w:t>[Pages 1–3]</w:t>
      </w:r>
    </w:p>
    <w:p>
      <w:r>
        <w:t xml:space="preserve">FRENCH REPUBLIC  </w:t>
        <w:br/>
        <w:t xml:space="preserve">Decision No. 22-DCC-219 of November 14, 2022  </w:t>
        <w:br/>
        <w:t xml:space="preserve">regarding the exclusive control of the company Aleda by the  </w:t>
        <w:br/>
        <w:t xml:space="preserve">French Gaming Company  </w:t>
        <w:br/>
        <w:t xml:space="preserve">The Competition Authority,  </w:t>
        <w:br/>
        <w:t xml:space="preserve">Having regard to the notification file submitted in full to the merger service on September 15, 2022, regarding the acquisition of control of the company Aleda by the French Gaming Company, formalized by an acquisition contract dated July 15, 2022;  </w:t>
        <w:br/>
        <w:t xml:space="preserve">Having regard to Book IV of the Commercial Code relating to price and competition freedom, and in particular its Articles L. 430-1 to L. 430-7;  </w:t>
        <w:br/>
        <w:t xml:space="preserve">Having regard to the commitments submitted on September 27, 2022, and last modified on November 9, 2022, 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The French Gaming Company is a public limited company with 20% of its capital held by the State, 15% by associations of veterans, 5% by Predica, and 4% by employees, with the remainder of the capital held by French (14%) and international (24%) institutional investors and individual shareholders (18%). It forms, with its various subsidiaries, the FDJ group (hereinafter "FDJ"). FDJ is active in the gambling and sports betting sector. In this regard, FDJ benefits from an exclusive right to organize and manage lottery games in France and an exclusive right to offer sports betting in physical points of sale. It also holds a license for its online sports betting activity. Furthermore, FDJ operates B2B services for other gambling operators internationally. In the payments sector, through its subsidiary FDJ Services, it offers cash collection services on behalf of third parties. FDJ also operates, through its subsidiary L’Addition, in the cash register solutions sector and associated services (point of sale management and teams, payment services) aimed at cafés-hotels-restaurants (CHR).  </w:t>
        <w:br/>
        <w:t xml:space="preserve">2. Aleda is a simplified joint-stock company whose capital is held [confidential]. It operates in the cash register solutions sector aimed at local retail stores and intermediation for the provision of dematerialized services to these same stores.  </w:t>
        <w:br/>
        <w:t xml:space="preserve">3. The operation, materialized by a share acquisition contract dated July 15, 2022, consists of the acquisition by FDJ of all the capital and voting rights of Aleda from its current shareholders, [confidential]. Following the operation, Aleda will be exclusively controlled by FDJ. Since the operation results in a change of control, it constitutes a concentration within the meaning of Article L. 430-1 of the Commercial Code.  </w:t>
        <w:br/>
        <w:t xml:space="preserve">4. The concerned companies together achieve a total worldwide turnover of more than 150 million euros (FDJ: [≥ 150 million] euros for the fiscal year ending December 31, 2022; Aleda: [≤ 150 million] euros for the fiscal year ending March 31, 2022). Each of these companies generates, in France, a turnover exceeding 50 million euros (FDJ: [≥ 50 million] euros for the fiscal year ending December 31, 2022; Aleda: [≥ 50 million] euros for the fiscal year ending March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1 In accordance with Article 15 of Ordinance No. 2019-1015 of October 2, 2019, reforming the regulation of gambling, these exclusive rights have been granted for a period of 25 years.  </w:t>
        <w:br/>
        <w:t>2 Of which FDJ acquired [confidential] % of the capital and voting rights on July 28, 2022.</w:t>
      </w:r>
    </w:p>
    <w:p>
      <w:r>
        <w:t xml:space="preserve">5. The parties to the operation simultaneously operate in the cash register solutions sector. Aleda provides and markets comprehensive cash register solutions aimed at local retail stores and more specifically at stores distributing tobacco and press products (hereinafter "tobacco/press"). FDJ – via L’Addition – operates similar activities aimed at the HORECA sector. They also simultaneously operate intermediation activities for the sale of dematerialized services via comprehensive cash register solutions or other terminals (via its comprehensive cash register solutions and POS terminals for Aleda, via its gaming terminals for FDJ).  </w:t>
        <w:br/>
        <w:t xml:space="preserve">6. Furthermore, considering the fact that FDJ's historical network of retailers for the distribution of gambling games and sports betting in points of sale mainly consists of tobacco/press, the conglomerate merger between these monopoly activities of FDJ and the marketing activities of comprehensive cash register solutions aimed at Aleda's tobacco/press has been analyzed.  </w:t>
        <w:br/>
        <w:t xml:space="preserve">7. Consequently, the markets for the marketing of comprehensive cash register solutions and intermediation for the sale of dematerialized services are concerned on a horizontal basis. The markets for gambling games and sports betting and payment services are concerned on a non-horizontal basis.  </w:t>
        <w:br/>
        <w:t xml:space="preserve">3 [Confidential].  </w:t>
        <w:br/>
        <w:t xml:space="preserve">4 Aleda also markets electronic payment terminals (TPE), under the trade names Mobilyblue and Mobilyshop, which allow merchants to offer dematerialized services for sale. The notifying party notes, however, that "[confidential]." In 2021, Aleda sold only between [confidential] and [confidential] TPE and its total installed base amounted to [confidential] TPE, [confidential]. It generally emphasizes the "decline of the TPE market." The notifying party also confirmed that [confidential]. No market has therefore been considered as specifically concerned regarding the activity of marketing TPE. In any case, the installed base of TPE of the target has been taken into account in this decision for the purpose of calculating its market shares in the market for intermediation for the sale of dematerialized services and, furthermore, the commitments made by the notifying party to remedy the risks of conglomerate effects also cover TPE sales.  </w:t>
        <w:br/>
        <w:t xml:space="preserve">5 [90-100]% of the businesses equipped with Aleda's comprehensive cash register solutions are tobacco/press, the remainder being small food-dominant businesses.  </w:t>
        <w:br/>
        <w:t xml:space="preserve">6 Approximately [80-90]% of the points of sale in FDJ's network are points of sale with at least one tobacco or press activity.  </w:t>
        <w:br/>
        <w:t>7 Any risk of conglomerate effect between FDJ's monopoly activities and the accessory resale activities of the target (wholesale distribution of telephony products and pipe products, a sector in which FDJ has no activity) can be dismissed without further analysis. Indeed, first of all, the notifying party indicates that "these products and services are neither complementary nor likely to be grouped with respect to the merchant." Secondly, the resale activity of the target is of an accessory nature for it. Finally, it emerges from the investigation that the economic objective of the operation as expected by FDJ primarily concerns the main activities of the target in the cash register solutions sector. The aspect related to resale products does not appear to be strategic for the acquirer. Any risk of vertical effect between, on the one hand, the activity of selling advertising space on Aleda's cash register solutions and, on the other hand, FDJ's advertiser activities has also not been analyzed. In this regard, the notifying party indicates that its activity of selling advertising space on its cash register solutions "has been developed solely with Aleda's suppliers [[confidential]] and represents less than 1% of its annual turnover." Furthermore, as the Competition Authority has already had the opportunity to point out (see the Authority's decision No. 22-DCC-74 of April 25, 2022, regarding the exclusive control of the company Bimedia by the company TA Associates), the activity of selling advertising space on comprehensive cash register solutions is an accessory activity to that of providing comprehensive cash register solutions that is still only minimally developed by the various providers of comprehensive cash register solutions. It does not currently appear to be a strategic aspect of comprehensive cash register solutions for users.</w:t>
      </w:r>
    </w:p>
    <w:p>
      <w:r>
        <w:rPr>
          <w:b/>
        </w:rPr>
        <w:t>[Pages 4–6]</w:t>
      </w:r>
    </w:p>
    <w:p>
      <w:r>
        <w:t>A. THE MARKETS FOR THE MARKETING OF COMPREHENSIVE CASH REGISTER SOLUTIONS</w:t>
      </w:r>
    </w:p>
    <w:p>
      <w:r>
        <w:t>8. As outlined in a recent decision by the Authority, rendered in the context of the acquisition of exclusive control of the company Bimedia by the company TA Associates, comprehensive cash register solutions are hardware and software systems that enable retailers to perform various tasks related to their retail activities (cash handling, inventory management, order entry for supplies, or, in some cases, the marketing of third-party products and services, referred to as "dematerialized services"). They are tools dedicated to sales and the management of retailers' activities around a point of sale terminal (POS). They thus combine the usual functions of cash registers in retail stores (conducting transactions) and the software management of point of sale activities.</w:t>
      </w:r>
    </w:p>
    <w:p>
      <w:r>
        <w:t>9. European and national decision-making practices have distinguished cash register solutions, which are characterized by being interconnected with other IT and software equipment in commerce, from simple electronic cash registers, which do not offer such interconnection capabilities.</w:t>
      </w:r>
    </w:p>
    <w:p>
      <w:r>
        <w:t>10. Furthermore, the Authority has considered – like the European Commission – segmenting this market based on (i) the type of hardware, (ii) the type of service, or (iii) the type of commerce. In its aforementioned decision TA Associates / Bimedia, the Authority dismissed the first two proposed segmentations. In contrast, given the specificities that can be observed at both the supply and demand levels among different types of commerce, the Authority conducted its analysis with regard to the most narrowly defined market where the parties' activities overlapped, namely that of comprehensive cash register solutions aimed at tobacco/press.</w:t>
      </w:r>
    </w:p>
    <w:p>
      <w:r>
        <w:t>11. Regarding the geographical delimitation of the market, the European Commission left the market definition open while suggesting that the market would be of European or global size. In the aforementioned decision TA Associates / Bimedia, the Authority conducted its analysis at the national level.</w:t>
      </w:r>
    </w:p>
    <w:p>
      <w:r>
        <w:t>12. The notifying party did not challenge the market definition retained in national decision-making practice. There is no reason to question this definition in the context of the present analysis.</w:t>
      </w:r>
    </w:p>
    <w:p>
      <w:r>
        <w:t>13. In this case, the comprehensive cash register solutions L’Addition (FDJ) and Aleda include both a traditional cash register system and peripheral systems (scanner, drawer) that are sold inseparably and allow for optimized compatibility between hardware and software. Their marketing is generally accompanied by maintenance and technical support services. Furthermore, the comprehensive cash register solutions L’Addition are intended for the HORECA sector, while those of Aleda are aimed at local retail stores and, more specifically, primarily at tobacco/press. Finally, like the target, FDJ primarily addresses a clientele of tobacco/press as part of its main activity in the gambling and sports betting sector at point of sale.</w:t>
      </w:r>
    </w:p>
    <w:p>
      <w:r>
        <w:t>14. Consequently, the horizontal analysis will be conducted on the national market for the provision of comprehensive cash register solutions where the parties to the transaction are simultaneously active. The market segment for the provision of comprehensive cash register solutions aimed at tobacco/press will also be analyzed as part of the conglomerate analysis.</w:t>
      </w:r>
    </w:p>
    <w:p>
      <w:r>
        <w:t>B. THE MARKETS FOR INTERMEDIATION FOR THE SALE OF DEMATERIALIZED SERVICES</w:t>
      </w:r>
    </w:p>
    <w:p>
      <w:r>
        <w:t>15. Dematerialized services are varied: they can include financial, telecommunication, administrative services, or "dematerialized content" (gift cards, online game credits, etc.). They are offered for sale to the general public by local retailers – and more specifically tobacco/press – who themselves have access to a diverse catalog of dematerialized services.</w:t>
      </w:r>
    </w:p>
    <w:p>
      <w:r>
        <w:t>16. The vast majority of retailers market dematerialized services through a comprehensive cash register solution, particularly in order to simplify billing management. Beyond comprehensive cash register solutions, other terminals present at points of sale allow for the public sale of some of these dematerialized services. For example, some gaming and betting terminals of FDJ offer money transfer services, "proximity payment" for taxes, fines, and current public service bills. Aleda, for its part, offers, in addition to its comprehensive cash register solutions, POS terminals and internet portals that enable retailers to sell dematerialized services.</w:t>
      </w:r>
    </w:p>
    <w:p>
      <w:r>
        <w:t>17. In the aforementioned decision TA Associates / Bimedia, the Authority considered, while leaving the question open, segmenting the intermediation market taking into account the specificities of the different categories of dematerialized services (financial services, including dematerialized payment, money transfer, and cash collection; telecommunication products and services; administrative services; content, etc.). It also segmented based on the type of commerce and conducted its analysis considering only tobacco/press type stores. It also considered that this market was of national dimension.</w:t>
      </w:r>
    </w:p>
    <w:p>
      <w:r>
        <w:t>18. The notifying party did not challenge the market definition as retained by national decision-making practice. There is no reason to question this definition in the context of the present analysis.</w:t>
      </w:r>
    </w:p>
    <w:p>
      <w:r>
        <w:t>19. In this case, the competitive analysis has therefore been conducted at the national level, considering tobacco/press type stores and distinguishing according to the different categories of dematerialized services.</w:t>
      </w:r>
    </w:p>
    <w:p>
      <w:r>
        <w:t>C. THE MARKETS FOR GAMBLING AND SPORTS BETTING</w:t>
      </w:r>
    </w:p>
    <w:p>
      <w:r>
        <w:t>20. The Authority retained in its opinion n° 11-A-02 of January 20, 2011, regarding the online gambling and betting sector, that a distinction can be made between, on the one hand, online gambling and betting and, on the other hand, gambling and sports betting offered at points of sale.</w:t>
      </w:r>
    </w:p>
    <w:p>
      <w:r>
        <w:t>21. Furthermore, national and European decision-making practice has identified a market for horse race betting, a market on which PMU holds a legal monopoly in France for point-of-sale horse race betting.</w:t>
      </w:r>
    </w:p>
    <w:p>
      <w:r>
        <w:t>22. Additionally, the Competition Authority has identified a specific market for games organized and marketed by the FDJ, characterized both by the specificity of the products offered and their mode of distribution, as well as by a particular demand from a broad clientele, especially considering the legal monopoly enjoyed by the FDJ for these activities.</w:t>
      </w:r>
    </w:p>
    <w:p>
      <w:r>
        <w:t>23. In these markets, European decision-making practice considers that demand-side substitutability may be limited by the characteristics of the games (probability and magnitude of winnings, time to recover winnings) and that, on the supply side, substitutability is very limited between different games.</w:t>
      </w:r>
    </w:p>
    <w:p>
      <w:r>
        <w:t>24. Regarding the geographical delimitation of the market, decision-making practice considers that the markets for gambling and sports betting are of national dimension due to the existence of national exclusive rights or licenses granted by a national regulatory authority, significant differences in legislation between countries, and language barriers.</w:t>
      </w:r>
    </w:p>
    <w:p>
      <w:r>
        <w:t>25. In this case, as previously outlined in paragraph 1 above, FDJ enjoys an exclusive right to organize and manage lottery games in France and an exclusive right to offer sports betting in physical points of sale. It also has an online sports betting website.</w:t>
      </w:r>
    </w:p>
    <w:p>
      <w:r>
        <w:t>26. In this case, given the specificities of the matter, there is no need to rule on the question of the exact definition of this market, as the competitive analysis remains unchanged regardless of the hypothesis retained.</w:t>
      </w:r>
    </w:p>
    <w:p>
      <w:r>
        <w:t>III. Competitive Analysis</w:t>
      </w:r>
    </w:p>
    <w:p>
      <w:r>
        <w:t>A. ON THE RISKS OF HORIZONTAL EFFECTS</w:t>
      </w:r>
    </w:p>
    <w:p>
      <w:r>
        <w:t>1. ON THE MARKETS FOR THE MARKETING OF COMPREHENSIVE CASH REGISTER SOLUTIONS</w:t>
      </w:r>
    </w:p>
    <w:p>
      <w:r>
        <w:t>27. The marketing activities of comprehensive cash register solutions by the parties to the transaction do not target the same types of commerce (local retail stores and more specifically tobacco/press).</w:t>
      </w:r>
    </w:p>
    <w:p>
      <w:r>
        <w:rPr>
          <w:b/>
        </w:rPr>
        <w:t>[Pages 7–9]</w:t>
      </w:r>
    </w:p>
    <w:p>
      <w:r>
        <w:t>particularly the tobacco/press regarding Aleda; HORECA regarding L’Addition), the overlap of activities occurs only at a global level.</w:t>
      </w:r>
    </w:p>
    <w:p>
      <w:r>
        <w:t>28. According to the notifying party, the combined market share of the new entity will be less than 5% ([0-5]% for Aleda and [0-5]% for L’Addition).</w:t>
      </w:r>
    </w:p>
    <w:p>
      <w:r>
        <w:t>29. Consequently, the operation is not likely to harm competition through horizontal effects in this market.</w:t>
      </w:r>
    </w:p>
    <w:p>
      <w:r>
        <w:t>2. ON THE MARKETS OF INTERMEDIATION FOR THE SALE OF DEMATERIALIZED SERVICES IN TOBACCO/PRESS</w:t>
      </w:r>
    </w:p>
    <w:p>
      <w:r>
        <w:t>30. Aleda is active in the markets of intermediation for the sale of dematerialized services in tobacco/press via its comprehensive cash register solutions (Lynx, Kapséo, and Kapséo+). The relevant dematerialized services include payment means and services, money transfer services, telephony products and services, online video game credits, and gift cards.</w:t>
      </w:r>
    </w:p>
    <w:p>
      <w:r>
        <w:t>31. Since 2017, FDJ has also developed an intermediation activity for the sale of dematerialized services via its gaming terminals (Neptune). In particular, these terminals offer a money transfer service with Western Union (only at retailers that have agreed to become agents of this company) and a bill and fine payment service issued by the General Directorate of Public Finances. A more extensive service for collecting bills from third parties (social landlords, highway operators, water sector companies) is under development.</w:t>
      </w:r>
    </w:p>
    <w:p>
      <w:r>
        <w:t>32. Consequently, the parties to the operation are simultaneously active in the markets of intermediation for the sale of dematerialized services in tobacco/press, particularly in payment and money transfer services.</w:t>
      </w:r>
    </w:p>
    <w:p>
      <w:r>
        <w:t>33. Based on a market value estimate, the market shares of the new entity will, according to the notifying party, be below 10% regardless of the segmentation considered.</w:t>
      </w:r>
    </w:p>
    <w:p>
      <w:r>
        <w:t>34. Consequently, the operation is not likely to harm competition through horizontal effects in these markets.</w:t>
      </w:r>
    </w:p>
    <w:p>
      <w:r>
        <w:t>B. ON THE RISKS OF CONGLOMERATE EFFECTS</w:t>
      </w:r>
    </w:p>
    <w:p>
      <w:r>
        <w:t>15 Aleda also operates intermediation activities for the sale of dematerialized services via its POS terminals (Mobilyblue and Mobilyshop), and via its internet portals aimed at merchants (Sésame) or consumers (Topengo), whose characteristics appear to be poorly suited for primary use by tobacco/press type stores for the sale of dematerialized services. Nevertheless, in a conservative approach, the entirety of the revenue generated by Aleda in connection with its intermediation activities for the sale of dematerialized services via its comprehensive cash register solutions, its POS terminals, and its platforms has been taken into account for the calculation of its market shares in the market of intermediation for the sale of dematerialized services in tobacco/press.</w:t>
      </w:r>
    </w:p>
    <w:p>
      <w:r>
        <w:t>16 Considering the diversity of the terminals of the parties to the operation in which dematerialized services are offered for sale.</w:t>
      </w:r>
    </w:p>
    <w:p>
      <w:r>
        <w:t>a) Introduction</w:t>
      </w:r>
    </w:p>
    <w:p>
      <w:r>
        <w:t>35. A concentration is likely to have conglomerate effects when the new entity extends or strengthens its presence in markets that are connected to other markets where it holds market power. Certain conglomerate concentrations can indeed produce restrictive competition effects when they allow for the technical or commercial linking of the sales of the new entity's products in such a way as to lock the market and exclude competitors.</w:t>
      </w:r>
    </w:p>
    <w:p>
      <w:r>
        <w:t>36. FDJ and Aleda both market their products and services to the tobacco/press clientele. Indeed, the FDJ network comprises approximately [80-90]% of tobacco/press. For Aleda, tobacco/press accounts for more than 90% of its clients.</w:t>
      </w:r>
    </w:p>
    <w:p>
      <w:r>
        <w:t>37. Thus, a connection can be established between FDJ's activities in the market for gambling games and sports betting offered at points of sale, where it holds a monopoly position, and the target's activities in the market for marketing comprehensive cash register solutions aimed at tobacco/press.</w:t>
      </w:r>
    </w:p>
    <w:p>
      <w:r>
        <w:t>38. The new entity could thus, leveraging FDJ's monopoly related to the distribution of games and bets, use its exclusive right as leverage and seek to increase the sales of Aleda's comprehensive cash register solutions to tobacco/press. Various strategies can be considered. The new entity could seek to develop bundled offers to increase the sales of Aleda's cash register solutions (bundling strategy). FDJ could also seek to condition the obtaining, maintenance, or renewal of the necessary approval for tobacco/press to market its games and bets on the merchant's use of an Aleda cash register solution (approval subordination strategy). The new entity could further seek to reserve certain functionalities for merchants equipped with Aleda's comprehensive cash register solutions (technological bundling strategy). Finally, it could also attempt to degrade the access conditions to FDJ's products and services for merchants equipped with competing cash register solutions to those of Aleda, to increase the sales of Aleda's comprehensive cash register solutions (interoperability degradation strategy). Some respondents to the market test expressed concern that the new entity could take advantage of information related to the tobacco/press activity obtained in the context of FDJ's approval to favor Aleda. However, it has not been demonstrated that FDJ would have privileged information that would constitute an advantage for Aleda in prospecting new tobacco/press operators or retailers currently equipped with competing comprehensive cash register solutions that could trigger an exclusion effect.</w:t>
      </w:r>
    </w:p>
    <w:p>
      <w:r>
        <w:t>b) Analysis of the risk of locking</w:t>
      </w:r>
    </w:p>
    <w:p>
      <w:r>
        <w:t>39. A concentration produces uncoordinated conglomerate effects when it allows the new entity to restrict or prevent access to one or more markets. Indeed, a company that benefits from or strengthens a strong position in a market may be able to lock access to one or more related markets by exploiting a leverage effect, that is to say, in particular, the ability for a company to increase the sales of a product or service in a market by leveraging its strong position in the market of another product or service to which the first product or service is linked, related, or bundled.</w:t>
      </w:r>
    </w:p>
    <w:p>
      <w:r>
        <w:t>40. When analyzing conglomerate effects, the Authority examines whether the new entity would, after the concentration, have the ability to lock access to one or more markets, whether it would be incentivized to do so, and whether a locking strategy would have a significant effect on the markets in question. In practice, these three conditions are closely linked.</w:t>
      </w:r>
    </w:p>
    <w:p>
      <w:r>
        <w:t>On the ability of the new entity to implement a locking strategy</w:t>
      </w:r>
    </w:p>
    <w:p>
      <w:r>
        <w:t>41. The notifying party argues that FDJ would have neither the incentive nor the ability to lock the market for comprehensive cash register solutions by leveraging its exclusive right. It particularly emphasizes that it would be incapable of doing so because Aleda's competitors would have the commercial means to oppose such an attempt and that retailers would remain the "sole decision-makers of the cash register solutions they use in their points of sale and [would therefore] be able to allow or refuse access to different providers." In this regard, it emphasizes that "[confidential] Logista France is the historical operator of the tobacco market that ensures 98% of the logistical management and distribution of products from tobacco manufacturers in the territory." It further indicates that "the only interactions identified to date between the activity deployed on the gaming terminal and the cash register solution relate to [...] the accounting of scratch games (which then remain to be validated on the terminal) and the resumption of cash-in and cash-out operations on real-time games recorded on the terminal for the needs of a facilitated accounting establishment for the retailer."</w:t>
      </w:r>
    </w:p>
    <w:p>
      <w:r>
        <w:t>42. In this case, first of all, the new entity will have FDJ's exclusive right in the market for gambling games and sports betting at points of sale. Consequently, it will hold a monopoly power there.</w:t>
      </w:r>
    </w:p>
    <w:p>
      <w:r>
        <w:t>43. Next, the new entity will not face customers with significant countervailing power. Indeed, the products offered by FDJ in this market constitute a significant source of revenue for each of its customers (mostly tobacconists and newsagents). The notifying party indicated in this regard that "[confidential]." Furthermore, FDJ faces atomized customers, consisting mainly of independent merchants representing individually a limited weight in FDJ's revenue. Finally, there are no alternatives to FDJ's offer of gambling games and sports betting at points of sale, even as the notifying party describes "tobacconists and press distributors" as "being particularly interested in distributing FDJ games to compensate for the constantly declining sales of tobacco and press, and also to ensure traffic in their points of sale, which are often bars." Consequently, FDJ's customers do not have sufficient countervailing power to limit FDJ's ability to implement a locking strategy.</w:t>
      </w:r>
    </w:p>
    <w:p>
      <w:r>
        <w:t>44. Moreover, FDJ is able to withdraw a merchant's approval, with the termination of the approval appearing relatively easy given the standard contract binding FDJ and the retailers in its network. The approval contract provided by the notifying party indeed stipulates in its Article 9.1.2 the case of "unilateral termination of the Contract" by FDJ under which FDJ can terminate the approval subject to [confidential] months' notice.</w:t>
      </w:r>
    </w:p>
    <w:p>
      <w:r>
        <w:t>45. Furthermore, as outlined in paragraphs 101 and following of decision n° 22-DCC-74, there is a certain fluidity in the market for comprehensive cash register solutions, which would allow a tobacco/press to change equipment relatively easily. Consequently, the new entity will have the ability in the relatively short term to implement a potential leverage effect.</w:t>
      </w:r>
    </w:p>
    <w:p>
      <w:r>
        <w:rPr>
          <w:b/>
        </w:rPr>
        <w:t>[Pages 10–12]</w:t>
      </w:r>
    </w:p>
    <w:p>
      <w:r>
        <w:t>46. Furthermore, the reaction capacity of the majority of competitors of the new entity in this market is limited. Indeed, not all competitors of the new entity are players with strong positions in related markets. They would not be able to counter, on their own, a potential bundling strategy of the new entity. Only Strator is backed by the Logista group, which is a very significant player in the wholesale distribution of tobacco in France. However, the presence of this player is not sufficient to completely limit the new entity's ability to implement a leverage effect. Moreover, FDJ addresses a very large number of tobacco/press outlets. Thus, the new entity will have the capacity to implement a leverage effect from the gambling and sports betting market at point of sale on a significant share of the market for comprehensive cash register solutions aimed at retailers distributing press and tobacco.</w:t>
      </w:r>
    </w:p>
    <w:p>
      <w:r>
        <w:t>47. Consequently, the new entity will have the capacity to implement a leverage effect from its position in the gambling and sports betting market at point of sale.</w:t>
      </w:r>
    </w:p>
    <w:p>
      <w:r>
        <w:t>On the incentive of the new entity to implement a blocking strategy</w:t>
      </w:r>
    </w:p>
    <w:p>
      <w:r>
        <w:t>48. The notifying party adds that the new entity would have no interest in linking the provision of gaming terminals and the Aleda cash register solution. Essentially, given a context of erosion of its network of points of sale, this strategy would expose it to a risk of losing points of sale. Each point of sale would generate an annual turnover of approximately [50,000-100,000] euros for FDJ, while the turnover generated for Aleda would only be around [5,000-10,000] euros per point of sale (of which only [1,000-2,000] euros pertains to the provision and maintenance of the comprehensive cash register solution). A bundling that restricts access to FDJ games to points of sale equipped with Aleda would therefore risk generating disproportionate losses and risks compared to the gains it could derive from the sale of additional Aleda cash register solutions. The notifying party further indicates that the new entity would also have no incentive to reduce the communication capabilities between gaming terminals and cash register solutions. Essentially, this would involve reverting to a market practice that is now clearly established and could not be done without provoking massive opposition.</w:t>
      </w:r>
    </w:p>
    <w:p>
      <w:r>
        <w:t>49. In this case, regarding the risk of tied selling and subordination, it appears that the majority of sales of comprehensive cash register solutions are concluded through solicitations made by the sales forces of the suppliers of comprehensive cash register solutions (or distributors operating on their behalf) and not at the initiative of the retailers. Consequently, the new entity will be incentivized to transform any commercial contact of FDJ with an approved retailer or a candidate for approval into a commercial contact to propose Aleda's comprehensive cash register solutions, in order to increase its turnover.</w:t>
      </w:r>
    </w:p>
    <w:p>
      <w:r>
        <w:t>50. The incentive to implement this bundling is all the stronger as the risk of loss of turnover is low. Indeed, as previously indicated, FDJ's products and services represent a significant revenue item for retailers, and it is unlikely that they would decide to forgo FDJ products to retain their cash register solution, especially in the absence of alternatives to these products.</w:t>
      </w:r>
    </w:p>
    <w:p>
      <w:r>
        <w:t>51. More specifically regarding the risk of technological bundling, the implementation of exclusive interoperability between the FDJ terminal and the Aleda comprehensive cash register solution would constitute an important commercial argument, which Aleda's competitors would not be able to unilaterally replicate, as FDJ's participation would be necessary to achieve any interoperability with the terminal. Indeed, FDJ currently provides all suppliers of comprehensive cash register solutions with the solutions it develops to improve the sales conditions for retailers. FDJ thus enables the digitization of gaming books through a cash register solution (to allow the retailer to manage its sales via the cash register solution) and has developed a project to facilitate the accounting of lottery and sports betting operations by approved retailers. The lack of interoperability between FDJ's products and services and comprehensive cash register solutions would thus constitute a problem for the retail clients (loss of productivity for them).</w:t>
      </w:r>
    </w:p>
    <w:p>
      <w:r>
        <w:t>52. Furthermore, a technological bundling strategy would be all the more effective as it would allow Aleda to offer exclusive and differentiating FDJ services that would be specific to its comprehensive cash register solutions.</w:t>
      </w:r>
    </w:p>
    <w:p>
      <w:r>
        <w:t>53. Thus, it appears that the new entity will be incentivized to implement a leverage effect from its gambling and sports betting activities at points of sale.</w:t>
      </w:r>
    </w:p>
    <w:p>
      <w:r>
        <w:t>On the question of the potential effects of implementing a blocking strategy</w:t>
      </w:r>
    </w:p>
    <w:p>
      <w:r>
        <w:t>54. In this case, a bundling strategy, a subordination strategy for approval, a technological grouping strategy, or a strategy of degrading interoperability would likely significantly reduce the sales of competitors in the market for comprehensive cash register solutions aimed at tobacco/press.</w:t>
      </w:r>
    </w:p>
    <w:p>
      <w:r>
        <w:t>55. Indeed, as previously indicated, the offering of gambling and sports betting constitutes an important revenue item for retailers distributing tobacco and/or press. The implementation of one of the strategies mentioned above would constitute a significant commercial advantage that could not be replicated by the majority of Aleda's competitors, and would be likely to lead to a substantial increase in Aleda's market share in the market for comprehensive cash register solutions.</w:t>
      </w:r>
    </w:p>
    <w:p>
      <w:r>
        <w:t>56. Furthermore, in the event that Strator were indeed able to counter such an exclusionary strategy from FDJ by relying on its position in the tobacco distribution market, this would not limit the exclusion of other competitors from the market. Such behavior could then lead to the establishment of a duopoly between Aleda and Strator.</w:t>
      </w:r>
    </w:p>
    <w:p>
      <w:r>
        <w:t>57. Consequently, a blocking strategy could significantly harm competition through conglomerate effects in the markets for the marketing of comprehensive cash register solutions aimed at tobacco/press.</w:t>
      </w:r>
    </w:p>
    <w:p>
      <w:r>
        <w:t>Conclusion</w:t>
      </w:r>
    </w:p>
    <w:p>
      <w:r>
        <w:t>58. It follows from the above that a risk of harm to competition through conglomerate effects cannot be excluded. However, the notifying party has presented commitments, analyzed in Section IV of this decision, to remedy such a risk, which are likely to dispel any serious doubts about harm to competition through such effects.</w:t>
      </w:r>
    </w:p>
    <w:p>
      <w:r>
        <w:t>IV. The commitments</w:t>
      </w:r>
    </w:p>
    <w:p>
      <w:r>
        <w:t>59. In order to remedy the anticompetitive effects identified above, FDJ submitted a proposal for commitments on September 27, 2022, the content of which was subjected to a market test. A final version of its commitment proposal was submitted to the Authority on November 9, 2022. This latest version was deemed sufficient by the Authority to address the competition concerns raised by the operation and was accepted by the Authority.</w:t>
      </w:r>
    </w:p>
    <w:p>
      <w:r>
        <w:t>60. The commitments of November 9, 2022, are therefore those presented in the developments that follow. Their text, attached in the annex, forms an integral part of this decision.</w:t>
      </w:r>
    </w:p>
    <w:p>
      <w:r>
        <w:t>A. THE PROPOSED COMMITMENTS</w:t>
      </w:r>
    </w:p>
    <w:p>
      <w:r>
        <w:t>61. Firstly, the notifying party commits not to subordinate the granting, modification, or withdrawal of FDJ approval to the use of an Aleda comprehensive cash register solution. It also prohibits itself from offering bundled offers ("commitment No. 1").</w:t>
      </w:r>
    </w:p>
    <w:p>
      <w:r>
        <w:t>62. The notifying party further commits to inform FDJ tobacco/press retailers or aspiring FDJ retailers of the existence of these commitments by inserting conspicuous mentions in the body of the text, respectively, of the pre-contractual document addressed to retailers wishing to apply for a contract of approval (application act) and of the approval contract, as well as on the intranet portal for approved retailers (professionjeux.com). These mentions specify that a representative has been appointed to monitor compliance with the commitment and indicate that the contact details of this representative are available on the Authority's website as well as on the intranet portal professionjeux.com.</w:t>
      </w:r>
    </w:p>
    <w:p>
      <w:r>
        <w:t>63. In addition, the notifying party commits to fully integrate a mention of these principles of non-subordination and non-bundling of sales, as well as a specific sheet titled "Cash Register Solutions and Dematerialized Services" summarizing the relevant clauses of the approval contract and the application act, on the internal portal Reso.com, which the notifying party identifies as the place gathering the internal documentation made available to its sales force. This mention will also appear in the "continuous information" section of the same portal to announce the realization of the operation.</w:t>
      </w:r>
    </w:p>
    <w:p>
      <w:r>
        <w:t>64. Secondly, in order to remedy the risks of technological bundling and degradation of competitors' access to FDJ services, the notifying party commits to maintain and ensure in the future the interoperability established to allow the use of services and applications directly related to the games and bets developed within the framework of its monopoly activity by retailers using comprehensive cash register solutions that compete with those of Aleda ("commitment No. 2").</w:t>
      </w:r>
    </w:p>
    <w:p>
      <w:r>
        <w:t>65. Three main implementation aspects are planned within the framework of commitment No. 2. The first two guarantee the maintenance of communication to all competitors of the target, respectively, of the information allowing the referencing and management of stocks of scratch game books and the technical information allowing the communication of accounting data related to games and bets.</w:t>
      </w:r>
    </w:p>
    <w:p>
      <w:r>
        <w:t>66. The third aspect guarantees the maintenance of interoperability for new services and applications developed by FDJ and directly related to its monopoly activity for games.</w:t>
      </w:r>
    </w:p>
    <w:p>
      <w:r>
        <w:rPr>
          <w:b/>
        </w:rPr>
        <w:t>[Pages 13–15]</w:t>
      </w:r>
    </w:p>
    <w:p>
      <w:r>
        <w:t>and betting ("related new services"). In this regard, in the event that FDJ develops related new services, it will make an offer to Aleda's competitors at least 15 months before the activation of any related new service. Regarding Aleda's competitors wishing to benefit from the relevant related new services, FDJ will allow them to carry out the specific development operations necessary. In this context, it will provide them with all the necessary technical information, ensuring the same level of information and transmission as to Aleda, at least twelve months before the activation of the relevant related new services. The transmission will be free of charge, with FDJ only able to charge, on an individual basis, for any common development costs and charges.</w:t>
      </w:r>
    </w:p>
    <w:p>
      <w:r>
        <w:t>67. Any project for the offer of related new services, as well as the projects for agreements and/or licenses related thereto, must be transmitted to the representative. The offers, the transmission of the necessary information, as well as the lists of recipients of the offers and the names of Aleda's competitors who accepted the offer, specifying the dates, will be transmitted annually to the representative.</w:t>
      </w:r>
    </w:p>
    <w:p>
      <w:r>
        <w:t>68. The monitoring of the implementation of these commitments will be ensured by a representative. In addition to its classic missions of monitoring and reporting on the implementation of the commitments, it may also propose to FDJ measures that it deems useful on its own initiative to ensure compliance with the commitments, including the modalities for resolving any potential execution difficulties that may have been reported to it by a competitor.</w:t>
      </w:r>
    </w:p>
    <w:p>
      <w:r>
        <w:t>69. The duration of the commitments is indexed to that of FDJ's monopoly on games and betting.</w:t>
      </w:r>
    </w:p>
    <w:p>
      <w:r>
        <w:t>B. ASSESSMENT OF THE PROPOSED COMMITMENTS</w:t>
      </w:r>
    </w:p>
    <w:p>
      <w:r>
        <w:t>70. The measures intended to remedy the competition harms resulting from the notified operation must comply with the general criteria defined by decision-making practice and case law, in order to be deemed capable of ensuring sufficient competition.</w:t>
      </w:r>
    </w:p>
    <w:p>
      <w:r>
        <w:t>71. The Authority primarily seeks structural measures to remedy the risks of harm to competition. However, to the extent that a behavioral remedy appears more appropriate in this case to prevent the risks of harm to competition resulting from the operation, such a remedy should be defined in a way that ensures its effectiveness and controllability.</w:t>
      </w:r>
    </w:p>
    <w:p>
      <w:r>
        <w:t>72. Furthermore, these remedies must be necessary and effective (i.e., they must effectively remedy the identified harms to competition and the effectiveness of the commitments must not depend on the diligence of the notifying party) and be proportionate (in particular, they should not aim to increase the level of competition that existed in a market prior to the concentration operation). Their implementation must not raise doubts (which implies that they should be drafted precisely, unambiguously, and that the operational modalities for their realization should be sufficiently detailed) and must be swift (competition is not preserved as long as they are not realized). Finally, they must be controllable (the notifying party must provide a control mechanism, if necessary by proposing the appointment of an independent representative, allowing the Authority to ensure their effective realization).</w:t>
      </w:r>
    </w:p>
    <w:p>
      <w:r>
        <w:t>73. In this case, first of all, the commitments are of a behavioral nature and appear to be more appropriate than structural commitments to prevent the identified conglomerate risks in paragraphs 35 and following above, namely the use by FDJ of its monopoly on games and betting as a lever to increase the sales of Aleda's comprehensive cash register solutions.</w:t>
      </w:r>
    </w:p>
    <w:p>
      <w:r>
        <w:t>74. Furthermore, by their nature, the commitments effectively prevent the risk of the new entity implementing a blocking strategy, and in particular strategies of bundled offers, subordination of FDJ's approval, technological bundling, or degradation of interoperability mentioned in paragraph 38 above.</w:t>
      </w:r>
    </w:p>
    <w:p>
      <w:r>
        <w:t>75. Indeed, under commitment No. 1, the notifying party commits not to implement a strategy of subordination of the granting, modification, or withdrawal of approval to the use of an Aleda comprehensive cash register solution. It also prohibits any bundling of offers. Furthermore, it commits to communicate the existence of the commitment to the members of its network as well as to its sales force. Thus, the contractual documentation intended for candidates for approval as well as the documentation for FDJ's sales force will include a reminder of this commitment of non-subordination and non-bundling. Additionally, the contact details of the representative in charge of monitoring the commitments will be communicated on FDJ's website for merchants. The modalities of this commitment will allow merchants to be informed of the framework within which the approval must exist as well as the existence of a designated contact person. Any deviation by FDJ from the framework of this commitment may be reported by merchants to the representative. In this way, commitment No. 1 remedies the risks of developing bundled offers and subordination of FDJ's approval by the new entity.</w:t>
      </w:r>
    </w:p>
    <w:p>
      <w:r>
        <w:t>76. Under commitment No. 2, the notifying party commits to maintain and ensure in the future the interoperability established to allow the use of services and applications directly related to games and betting developed within the framework of its monopoly activity by retailers using competing comprehensive cash register solutions. This thus ensures that the operation will not result in a degradation of Aleda's competitors' access to information related to FDJ products or, furthermore, in technological bundling between the products and services resulting from FDJ's monopoly on games and betting and those of the target.</w:t>
      </w:r>
    </w:p>
    <w:p>
      <w:r>
        <w:t>77. More specifically, it appears from the information provided by the notifying party during the investigation that the interoperability between FDJ's monopoly activities on games and betting and the existing comprehensive cash register solutions currently consists concretely of solutions allowing the integration of a function for digitizing game books into all cash register solutions (allowing the retailer to account for its sales of scratch games directly on the cash register solution as soon as they are validated on the terminal) and facilitating the resumption of cash-in/cash-out operations for games and betting on the cash register solutions used by approved retailers.</w:t>
      </w:r>
    </w:p>
    <w:p>
      <w:r>
        <w:t>78. In this regard, by committing to maintain communication to all competitors of the target, respectively, of information allowing the referencing and management of scratch game book stocks and technical information allowing the communication of accounting data related to games and betting, the commitment thus ensures that the operation will not result in a degradation of Aleda's competitors' access to information related to FDJ products.</w:t>
      </w:r>
    </w:p>
    <w:p>
      <w:r>
        <w:t>79. [Confidential]. Furthermore, it cannot be ruled out that FDJ may develop new projects in the future aimed at improving interoperability with comprehensive cash register solutions. Finally, the current FDJ gaming terminal (Neptune) could evolve, be replaced by a new terminal, or even become virtual.</w:t>
      </w:r>
    </w:p>
    <w:p>
      <w:r>
        <w:t>80. In this regard, by committing to guarantee the maintenance of interoperability for the related new services it would develop and to respect specific modalities aimed at ensuring, in particular, non-discriminatory treatment towards all providers of comprehensive cash register solutions, the commitment allows all providers of comprehensive cash register solutions to benefit from future enhanced communication possibilities between the FDJ terminal and comprehensive cash register solutions. This commitment thus prevents the operation from resulting in technological bundling to the exclusive benefit of Aleda. Moreover, in its design, the commitment appears to be sufficiently adaptable as it broadly targets all new services and applications that would be directly related to FDJ's monopoly activities on games and betting and, furthermore, benefits not only Aleda's current competitors such as Strator or Devlyx/Bimedia but also any new entrant that would provide cash register solutions for independent local retailers distributing, or likely to distribute, FDJ games and betting.</w:t>
      </w:r>
    </w:p>
    <w:p>
      <w:r>
        <w:t>81. Furthermore, these commitments are proportionate as they aim solely to remedy the risks specifically identified as being raised by the operation. Additionally, they provide operational modalities framing their implementation and foresee an adequate control mechanism.</w:t>
      </w:r>
    </w:p>
    <w:p>
      <w:r>
        <w:t>82. Finally, these commitments will apply for the entire duration during which FDJ could implement a lever.</w:t>
      </w:r>
    </w:p>
    <w:p>
      <w:r>
        <w:t>83. Consequently, the Authority considers that the commitments proposed by FDJ are sufficient to alleviate serious doubts regarding harm to competition arising from the operation.</w:t>
      </w:r>
    </w:p>
    <w:p>
      <w:r>
        <w:rPr>
          <w:b/>
        </w:rPr>
        <w:t>[Pages 16–16]</w:t>
      </w:r>
    </w:p>
    <w:p>
      <w:r>
        <w:t xml:space="preserve">DECISION  </w:t>
        <w:br/>
        <w:t xml:space="preserve">Sole Article: The operation notified under number 22-174 is authorized subject to the commitments described above and attached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