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https://www.autoritedelaconcurrence.fr/fr/decision-de-controle-des-concentrations/relative-la-prise-de-controle-exclusif-de-la-societe-alpes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21-DCC-246 of December 21, 2021  </w:t>
        <w:br/>
        <w:t xml:space="preserve">regarding the exclusive control acquisition of the company Alpes Sud Auto and  </w:t>
        <w:br/>
        <w:t xml:space="preserve">its two subsidiaries by the company Socipar  </w:t>
        <w:br/>
        <w:t xml:space="preserve">The Competition Authority,  </w:t>
        <w:br/>
        <w:t xml:space="preserve">Having regard to the complete notification file sent to the mergers department on December 3, 2021,  </w:t>
        <w:br/>
        <w:t xml:space="preserve">concerning the exclusive control acquisition of the company Alpes Sud Auto and its two subsidiaries by the  </w:t>
        <w:br/>
        <w:t xml:space="preserve">company Socipar, formalized by a letter of intent signed on November 4, 2021;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Alpes Sud Auto and its  </w:t>
        <w:br/>
        <w:t xml:space="preserve">two subsidiaries, which operate two car dealerships under the Toyota brand located in the municipalities of Sisteron (04) and Volx (04), by the company Cardis, a subsidiary of the  </w:t>
        <w:br/>
        <w:t xml:space="preserve">company Socipar, which is itself active in the automotive distribution sector. It constitutes  </w:t>
        <w:br/>
        <w:t xml:space="preserve">a concentration operation within the meaning of Article L. 430-1 of the Commercial Code. Given  </w:t>
        <w:br/>
        <w:t xml:space="preserve">the turnover achieved by the companies concerned, the operation does not fall under the  </w:t>
        <w:br/>
        <w:t xml:space="preserve">competence of the European Union. On the other hand, the retail control thresholds mentioned in II of Article L. 430-2 of the Commercial Code are exceeded. This  </w:t>
        <w:br/>
        <w:t xml:space="preserve">operation is therefore subject to the provisions 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21-288 is authorized.  </w:t>
        <w:br/>
        <w:t xml:space="preserve">The interim 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