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https://www.autoritedelaconcurrence.fr/fr/decision-de-controle-des-concentrations/relative-la-prise-de-controle-exclusif-de-la-societe-alpha</w:t>
      </w:r>
    </w:p>
    <w:p>
      <w:r>
        <w:t>Pages translated : 9</w:t>
      </w:r>
    </w:p>
    <w:p/>
    <w:p>
      <w:r>
        <w:rPr>
          <w:b/>
        </w:rPr>
        <w:t>[Pages 1–3]</w:t>
      </w:r>
    </w:p>
    <w:p>
      <w:r>
        <w:t xml:space="preserve">FRENCH REPUBLIC  </w:t>
        <w:br/>
        <w:t xml:space="preserve">Decision No. 18-DCC-127 of July 30, 2018  </w:t>
        <w:br/>
        <w:t>regarding the exclusive control of Alpha Direct Services by Log’Hopp</w:t>
      </w:r>
    </w:p>
    <w:p>
      <w:r>
        <w:t xml:space="preserve">The Competition Authority,  </w:t>
        <w:br/>
        <w:t xml:space="preserve">Having regard to the notification file sent to the concentrations service on April 23, 2018, and declared complete on July 16, 2018, regarding the exclusive control of Alpha Direct Services by Log’Hopp, formalized by a purchase promise dated February 16, 2018;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Log’Hopp is a 100% subsidiary of Hopps Group SAS (hereinafter, "Hopps Group"), active in the sector of delivery and local communication. Hopps Group also wholly owns Adrexo SAS, active in the distribution of unaddressed printed materials, logistics, and transport commissioning, as well as Colis Privé1, a parcel delivery operator to individuals at home or at a pickup point2.  </w:t>
        <w:br/>
        <w:t xml:space="preserve">2. Alpha Direct Services (hereinafter, "ADS") is active in parcel distribution and logistics.  </w:t>
        <w:br/>
        <w:t xml:space="preserve">3. The operation is formalized by a purchase promise dated February 16, 2018, concerning the acquisition of 100% of the shares and voting rights of ADS by Hopps Group.  </w:t>
        <w:br/>
        <w:t xml:space="preserve">1 Decision No. 17-DCC-115 of July 21, 2017, regarding the exclusive control of Colis Privé by Hopps Group.  </w:t>
        <w:br/>
        <w:t>2 Hopps Group is also a player, through its subsidiaries, in the exclusive marketing in France of brands in the textile, footwear, and fashion accessories sector, and in the direct sale at home of products focused on well-being.</w:t>
      </w:r>
    </w:p>
    <w:p>
      <w:r>
        <w:t xml:space="preserve">4. The operation therefore constitutes a concentration within the meaning of Article L. 430-1 of the Commercial Code.  </w:t>
        <w:br/>
        <w:t>5. The companies concerned together achieve a total worldwide turnover excluding taxes of more than 150 million euros (Hopps Group: 527 million euros for the fiscal year ending December 31, 2017; ADS: 55.8 million euros for the fiscal year ending December 31, 2017). These companies have achieved a turnover in France exceeding 50 million euros (Hopps Group: 518 million euros for the fiscal year ending December 31, 2017; ADS: 55.8 million euros for the fiscal year ending December 31, 2017).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THE PARCEL DELIVERY MARKET  </w:t>
        <w:br/>
        <w:t xml:space="preserve">1. MARKET FOR SERVICES  </w:t>
        <w:br/>
        <w:t xml:space="preserve">6. The decision-making practice of the Authority3 defines the delivery activity as the transportation of documents or parcels weighing less than 3 tons, coming from different shippers and addressed to different recipients. Within this activity, a segmentation is made between documents and parcels. In the parcel delivery market, the Authority distinguishes three types of services: (i) traditional delivery (delivery within 24 to 72 hours on national territory), (ii) express delivery (pickup before 6 PM for delivery the next day before 6 PM on national territory, with no guaranteed deadlines), and (iii) express delivery (pickup before 6 PM for delivery the next day before 12 or 1 PM on national territory, with different levels of guarantee on deadlines and a possibility of tracking by the customer). Within the traditional delivery market, the Authority has considered a segmentation between home delivery and delivery to pickup points4.  </w:t>
        <w:br/>
        <w:t xml:space="preserve">7. The Authority has also made a distinction between delivery activities of (i) business to business ("BtoB"), (ii) business to consumers ("BtoC"), (iii) consumers to businesses ("CtoB"), and (iv) consumers to consumers ("CtoC")5. Indeed, CtoC or CtoB delivery requires having agencies to welcome individuals so that they can drop off their parcels, unlike BtoB or BtoC delivery, where the carrier generally goes to the business to collect the parcels. BtoC delivery requires a denser network than BtoB delivery, as businesses are often grouped in activity zones, while individuals to be delivered can be much farther apart. BtoC operators must therefore have a larger fleet of delivery vehicles than BtoB operators, making BtoC services more expensive than BtoB services.  </w:t>
        <w:br/>
        <w:t xml:space="preserve">8. Furthermore, the Authority has considered a segmentation based on the weight of parcels (more or less than 30 kg) both in the BtoB parcel delivery market6 and in the BtoC parcel delivery market7.  </w:t>
        <w:br/>
        <w:t xml:space="preserve">9. Finally, competition authorities distinguish between national delivery and international delivery8, as these two activities involve different organizations and infrastructures, where delivery operators may specialize in only one of these services, and where international delivery services are more costly.  </w:t>
        <w:br/>
        <w:t xml:space="preserve">10. However, the question of the exact delimitation of the markets can be left open in this case, as the conclusions of the competitive analysis remain unchanged regardless of the hypothesis adopted.  </w:t>
        <w:br/>
        <w:t>11. In this case, ADS and Hopps Group are present in traditional and express BtoC delivery of parcels weighing less than 30 kg.</w:t>
      </w:r>
    </w:p>
    <w:p>
      <w:r>
        <w:t xml:space="preserve">2. GEOGRAPHIC MARKET  </w:t>
        <w:br/>
        <w:t>12. The decision-making practice of the Authority9 considers that the parcel delivery markets have a national dimension.</w:t>
      </w:r>
    </w:p>
    <w:p>
      <w:r>
        <w:t xml:space="preserve">B. THE MARKET FOR UNADDRESSED PRINT DISTRIBUTION  </w:t>
        <w:br/>
        <w:t xml:space="preserve">1. MARKET FOR SERVICES  </w:t>
        <w:br/>
        <w:t xml:space="preserve">13. The decision-making practice of the Authority identifies a market for unaddressed print distribution (hereinafter, "ISA"), which includes brochures, leaflets, printed materials, and advertising newspapers10. The objective of ISA is to conduct commercial prospecting ("address collection"), to make new products known in order to attract new customers. The distribution of ISA is thus distinct from addressed advertising as well as from other out-of-media advertising services.  </w:t>
        <w:br/>
        <w:t xml:space="preserve">6 See in particular the Authority's decision No. 14-DCC-105 of July 16, 2014, regarding the exclusive control of Ciblex by European Healthcare Distribution Holding.  </w:t>
        <w:br/>
        <w:t xml:space="preserve">7 See the aforementioned decision No. 16-DCC-62.  </w:t>
        <w:br/>
        <w:t xml:space="preserve">8 See in particular the decision of the Commission COMP/M.7630 FedEx/TNT Express of January 1, 2016, and the Authority's decisions No. 10-DCC-26, No. 09-DCC-40, and No. 12-DCC-153 mentioned above.  </w:t>
        <w:br/>
        <w:t xml:space="preserve">9 See in particular the Authority's decisions No. 09-DCC-40, No. 10-DCC-26, and No. 12-DCC-153 mentioned above.  </w:t>
        <w:br/>
        <w:t>10 See decisions No. 17-DCC-115 mentioned above and No. 11-DCC-114 of July 12, 2011, regarding the exclusive control of the group l’Est Républicain by the Federative Bank of the Credit Mutuel.</w:t>
      </w:r>
    </w:p>
    <w:p>
      <w:r>
        <w:rPr>
          <w:b/>
        </w:rPr>
        <w:t>[Pages 4–6]</w:t>
      </w:r>
    </w:p>
    <w:p>
      <w:r>
        <w:t xml:space="preserve">2. GEOGRAPHIC MARKET  </w:t>
        <w:br/>
        <w:t xml:space="preserve">14. The decision-making practice of the Authority has determined that, in the ISA distribution market, national demand and local demand are not substitutable. Indeed, some companies, particularly large integrated groups, conduct negotiations at the national level, while others, especially small retailers, purchase services at the local level. Moreover, on the supply side, there are many providers at the local level, but very few are present at the national level. Therefore, it is appropriate to consider both a national and local dimension of the ISA distribution market.  </w:t>
        <w:br/>
        <w:t xml:space="preserve">15. Regarding the delimitation of local ISA distribution markets, the decision-making practice has considered retaining the department.  </w:t>
        <w:br/>
        <w:t xml:space="preserve">16. The question of the exact delimitation of local ISA distribution markets can therefore be left open, as the conclusions of the competitive analysis remain unchanged regardless of the hypothesis adopted.  </w:t>
        <w:br/>
        <w:t xml:space="preserve">C. LOGISTICS MARKETS  </w:t>
        <w:br/>
        <w:t xml:space="preserve">1. SERVICE MARKET  </w:t>
        <w:br/>
        <w:t xml:space="preserve">17. The decision-making practice of competition authorities has defined logistics services as involving "the various links in a supply chain of goods between an origin point and a destination point, in order to optimally manage the flow and storage of said goods. This activity can be likened to a comprehensive offer, as it combines a set of services such as, in particular, storage, inventory management, order taking, and transportation of goods at a time and place defined by the client."  </w:t>
        <w:br/>
        <w:t xml:space="preserve">18. European and national competition authorities have considered the existence of distinct logistics markets for certain sectors of activity that, due to the characteristics of their production chains, may require specific logistics services.  </w:t>
        <w:br/>
        <w:t xml:space="preserve">19. A distinct market for logistics services intended for the e-commerce sector has thus been recognized. Within this market, logistics activity occurs at different stages of the distribution process at which several types of logistics services are offered. These include: (i) upstream logistics (sourcing, quality control, storage, packaging, order preparation, labeling, etc.); (ii) downstream logistics (delivery); and (iii) return flow management (related, for example, to the exercise of the right of withdrawal, after-sales service, or recycling). Given these specificities, the Authority has considered that the upstream logistics services specific to the e-commerce sector could constitute a distinct market.  </w:t>
        <w:br/>
        <w:t xml:space="preserve">20. However, the question of the exact delimitation of logistics markets can be left open, as the conclusions of the competitive analysis remain unchanged regardless of the delimitation adopted.  </w:t>
        <w:br/>
        <w:t xml:space="preserve">2. GEOGRAPHIC MARKET  </w:t>
        <w:br/>
        <w:t xml:space="preserve">21. According to the decision-making practice of the Authority, logistics service markets are of national dimension.  </w:t>
        <w:br/>
        <w:t xml:space="preserve">D. TRANSPORT COMMISSIONING MARKETS  </w:t>
        <w:br/>
        <w:t xml:space="preserve">1. SERVICE MARKET  </w:t>
        <w:br/>
        <w:t xml:space="preserve">22. According to French and European competition authorities, the activity of transport commissioning, or "freight forwarding," is defined as "the organization of the transport of goods (which may include, in addition to the transport itself, various other services, such as customs clearance or warehousing) on behalf of clients according to their needs."  </w:t>
        <w:br/>
        <w:t xml:space="preserve">23. Within transport commissioning, competition authorities have considered a finer segmentation of this market according to (i) the mode of transport used, whether by air, sea, or land (including rail and road transport), or according to (ii) the national or international nature of the transport. Regarding land transport commissioning, the distinction between road and rail transport commissioning has been considered, but the exact delimitation of this market has been left open. In this case, it is not necessary to resolve the question, as the conclusions of the competitive analysis in this case remain unchanged, regardless of the segmentation adopted.  </w:t>
        <w:br/>
        <w:t xml:space="preserve">2. GEOGRAPHIC MARKET  </w:t>
        <w:br/>
        <w:t xml:space="preserve">24. French and European decision-making practice has considered that the market for road freight transport and its segments generally have a national dimension and are evolving towards a European dimension. In this case, the question of the geographic delimitation of this market can be left open, insofar as the conclusions of the competitive analysis remain unchanged regardless of the hypothesis adopted.  </w:t>
        <w:br/>
        <w:t xml:space="preserve">III. Competitive Analysis  </w:t>
        <w:br/>
        <w:t xml:space="preserve">25. The operation results in overlaps of activities between the parties in the parcel delivery and logistics markets, which are likely to have horizontal effects. It is also likely to have vertical effects, due to the presence of Hopps Group in the upstream transport commissioning market, the simultaneous presence of the parties in the upstream logistics services market, and their simultaneous presence in the downstream parcel delivery market. Finally, it may have conglomerate effects, due to the connection existing between the parcel delivery markets and the market for the distribution of unaddressed printed materials, at both the national and local levels.  </w:t>
        <w:br/>
        <w:t xml:space="preserve">A. HORIZONTAL EFFECTS  </w:t>
        <w:br/>
        <w:t xml:space="preserve">26. The operation results in an overlap of activities between the parties in the parcel delivery markets. However, their combined market shares do not exceed 14%, regardless of the segmentation adopted.  </w:t>
        <w:br/>
        <w:t xml:space="preserve">27. It also results in an overlap of activities between the parties in the logistics markets. However, their combined market shares do not exceed 17%, regardless of the segmentation considered.  </w:t>
        <w:br/>
        <w:t xml:space="preserve">28. Therefore, the operation is not likely to harm competition in the parcel delivery markets, nor in the logistics markets, through horizontal effects.  </w:t>
        <w:br/>
        <w:t xml:space="preserve">B. VERTICAL EFFECTS  </w:t>
        <w:br/>
        <w:t>29. A vertical concentration can restrict competition by making access to the markets in which the new entity will be active more difficult,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inputs.</w:t>
      </w:r>
    </w:p>
    <w:p>
      <w:r>
        <w:rPr>
          <w:b/>
        </w:rPr>
        <w:t>[Pages 7–9]</w:t>
      </w:r>
    </w:p>
    <w:p>
      <w:r>
        <w:t>products from upstream manufacturers and thus reduces their commercial outlets. However, the decision-making practice of competition authorities generally dismisses the risks of lock-in when the market share of the company resulting from the operation in the relevant markets does not exceed 30%.</w:t>
      </w:r>
    </w:p>
    <w:p>
      <w:r>
        <w:t>30. The market for transport brokerage is situated upstream of the parcel delivery markets, as transport brokers source services from carriers, including companies present in the parcel delivery sector.</w:t>
      </w:r>
    </w:p>
    <w:p>
      <w:r>
        <w:t>31. The logistics markets are located upstream of the parcel delivery market but also downstream of it, depending on whether the logistics activity involves supplying, quality control, storage, packaging, order preparation, labeling, delivery, etc., or managing return flows (right of withdrawal, after-sales service, recycling, etc.).</w:t>
      </w:r>
    </w:p>
    <w:p>
      <w:r>
        <w:t>32. Regardless of the market delimitation adopted, the market shares of the newly created company do not exceed 14% in the parcel delivery markets, 17% in the logistics markets, and 5% in the transport brokerage market.</w:t>
      </w:r>
    </w:p>
    <w:p>
      <w:r>
        <w:t>33. It follows from the above that the operation is not likely to harm competition through vertical effects.</w:t>
      </w:r>
    </w:p>
    <w:p>
      <w:r>
        <w:t>C. CONGLOMERATE EFFECTS</w:t>
      </w:r>
    </w:p>
    <w:p>
      <w:r>
        <w:t>34. It is possible to consider that the parcel delivery market and the ISA distribution market are related: as indicated by the notifying party, certain categories of customers may use both parcel delivery services and ISA distribution. This particularly concerns retail chains with online sales activities, for which it may therefore be considered to develop an offer combining parcel distribution and ISA distribution. Consequently, the conglomerate effects of the operation must be examined.</w:t>
      </w:r>
    </w:p>
    <w:p>
      <w:r>
        <w:t>35. A concentration has conglomerate effects when the new entity extends or strengthens its presence in several markets, the relatedness of which may allow it to exploit a leverage effect. While conglomerate concentrations can generally generate pro-competitive synergies, some may nonetheless produce restrictive competition effects when they allow for the technical or commercial tying of sales or purchases of the components of the grouping in a way that locks the market and excludes competitors.</w:t>
      </w:r>
    </w:p>
    <w:p>
      <w:r>
        <w:t>36. The decision-making practice of competition authorities generally considers that a risk of conglomerate effect can be dismissed as long as the market share of the entity resulting from the operation in the relevant markets does not exceed 30%.</w:t>
      </w:r>
    </w:p>
    <w:p>
      <w:r>
        <w:t>37. The decision-making practice holds that a conglomerate operation harms competition when the new entity not only has the material capacity to exert a leverage effect but is also incentivized to do so, and when the exercise of this leverage effect has a significant impact on the relevant markets. In practice, these three criteria are closely linked.</w:t>
      </w:r>
    </w:p>
    <w:p>
      <w:r>
        <w:t>38. In this case, the market share of the company ADS is less than 4% in the traditional and express BtoC delivery markets for parcels weighing less than 30 kg. In contrast, Hopps Group holds a market share exceeding 30% in the ISA distribution market at both the national and local levels. At the national level, Hopps Group holds a market share of 41.5% in volume and 35.8% in value. At the local level, the value market share of the new entity in the ISA distribution market will remain that currently held by Hopps Group, which is less than 60%.</w:t>
      </w:r>
    </w:p>
    <w:p>
      <w:r>
        <w:t>39. Therefore, the risk that the new entity exploits Hopps Group's position in the ISA distribution market as leverage to exclude ADS competitors in the traditional and express BtoC delivery markets for parcels weighing less than 30 kg must be analyzed. More specifically, the risk of conglomerate effects must be analyzed between the national ISA distribution market and the national parcel delivery markets, as well as between the local ISA distribution markets and the national parcel delivery market.</w:t>
      </w:r>
    </w:p>
    <w:p>
      <w:r>
        <w:t>40. First, the notifying party states that, since the exclusive takeover of Colis Privé in 2017, Hopps Group has not implemented a bundled offer linking parcels and ISA, and has no intention of doing so following the completion of this operation. Furthermore, the notifying party asserts that no economies of scale are permitted by the bundling of sales between the ISA sector and the parcel delivery sector. This assertion has been corroborated by statements from La Poste, the only competing operator present simultaneously in the parcel delivery and ISA markets, as part of the market test conducted for the purposes of the review of this operation.</w:t>
      </w:r>
    </w:p>
    <w:p>
      <w:r>
        <w:t>41. Second, the operation does not result in any addition of market share in the ISA distribution market, and the increment of this operation in the related parcel delivery market is limited to a maximum of 3.3 points. Therefore, the operation only marginally alters the pre-existing competitive balance since Hopps acquired Colis Privé in 2017.</w:t>
      </w:r>
    </w:p>
    <w:p>
      <w:r>
        <w:t>42. Third, in the ISA distribution market, the new entity will face competitive pressure from Mediapost, a subsidiary of La Poste and market leader with a national market share of 52.7% in volume and 60% in value, and a strong presence also at the local level. Unlike the new entity, La Poste is also the leading operator in the parcel delivery markets. Thus, in the event that the new entity considers implementing a bundling strategy using its position in the ISA market to leverage the parcel delivery market, La Poste, which has unparalleled coverage nationwide, would be able to render such a strategy ineffective, particularly by applying an attractive pricing policy in either of these two markets.</w:t>
      </w:r>
    </w:p>
    <w:p>
      <w:r>
        <w:t>43. Therefore, even in the hypothetical scenario where the new entity had the capacity and was incentivized to implement a bundled offer at the national or local level, such a strategy would not have a significant effect on the relevant markets.</w:t>
      </w:r>
    </w:p>
    <w:p>
      <w:r>
        <w:t>44. Consequently, the operation is not likely to harm competition through conglomerate effects between the ISA distribution markets and the parcel delivery markets.</w:t>
      </w:r>
    </w:p>
    <w:p>
      <w:r>
        <w:t>DECIDES</w:t>
      </w:r>
    </w:p>
    <w:p>
      <w:r>
        <w:t>Sole Article: The operation notified under number 18-081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