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https://www.autoritedelaconcurrence.fr/fr/decision-de-controle-des-concentrations/relative-la-prise-de-controle-exclusif-de-la-societe-alrick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14-DCC-25 of February 24, 2014  </w:t>
        <w:br/>
        <w:t xml:space="preserve">regarding the exclusive control acquisition of the company Alrick  </w:t>
        <w:br/>
        <w:t xml:space="preserve">by the company ITM Alimentaire Région Parisienne  </w:t>
        <w:br/>
        <w:t>The Competition Authority,</w:t>
      </w:r>
    </w:p>
    <w:p>
      <w:r>
        <w:t xml:space="preserve">Having regard to the complete notification file sent to the mergers department on January 30, 2014,  </w:t>
        <w:br/>
        <w:t xml:space="preserve">concerning the exclusive control acquisition of the company Alrick by the company ITM Alimentaire  </w:t>
        <w:br/>
        <w:t>Région Parisienne and formalized by a share transfer agreement under suspensive conditions dated January 29, 2014;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Alrick, operating a business  </w:t>
        <w:br/>
        <w:t xml:space="preserve">of food distribution under the Intermarché brand in the city of Combs-la-Ville (77), by the company ITM Alimentaire Région Parisienne.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 </w:t>
        <w:br/>
        <w:t xml:space="preserve">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14-013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