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https://www.autoritedelaconcurrence.fr/fr/decision-de-controle-des-concentrations/relative-la-prise-de-controle-exclusif-de-la-societe-alsa</w:t>
      </w:r>
    </w:p>
    <w:p>
      <w:r>
        <w:t>Pages translated : 22</w:t>
      </w:r>
    </w:p>
    <w:p/>
    <w:p>
      <w:r>
        <w:rPr>
          <w:b/>
        </w:rPr>
        <w:t>[Pages 1–3]</w:t>
      </w:r>
    </w:p>
    <w:p>
      <w:r>
        <w:t xml:space="preserve">FRENCH REPUBLIC  </w:t>
        <w:br/>
        <w:t xml:space="preserve">Decision No. 19-DCC-15 of January 29, 2019  </w:t>
        <w:br/>
        <w:t xml:space="preserve">regarding the exclusive control of Alsa France SAS and  </w:t>
        <w:br/>
        <w:t xml:space="preserve">the intangible assets necessary for the manufacturing and sale of  </w:t>
        <w:br/>
        <w:t xml:space="preserve">food products under the Alsa and Moench brands  </w:t>
        <w:br/>
        <w:t>by the Dr. Oetker group</w:t>
      </w:r>
    </w:p>
    <w:p>
      <w:r>
        <w:t xml:space="preserve">The Competition Authority,  </w:t>
        <w:br/>
        <w:t xml:space="preserve">Having regard to the notification file sent to the merger service on November 16, 2018,  </w:t>
        <w:br/>
        <w:t xml:space="preserve">declared complete on November 30, 2018, regarding the exclusive control of Alsa France SAS and  </w:t>
        <w:br/>
        <w:t xml:space="preserve">the intangible assets necessary for the manufacturing and marketing of  </w:t>
        <w:br/>
        <w:t xml:space="preserve">food products under the Alsa and Moench brands by the Dr. Oetker group, formalized by a  </w:t>
        <w:br/>
        <w:t xml:space="preserve">memorandum of understanding signed on May 2, 2018;  </w:t>
        <w:br/>
        <w:t xml:space="preserve">Having regard to Book IV of the Commercial Code relating to price and competition freedom, and  </w:t>
        <w:br/>
        <w:t xml:space="preserve">notably its Articles L. 430-1 to L. 430-7;  </w:t>
        <w:br/>
        <w:t xml:space="preserve">Having regard to the commitments presented on December 10, 2018, by the notifying party and modified, most recently, on January 23, 2019;  </w:t>
        <w:br/>
        <w:t xml:space="preserve">Having regard to the additional elements submitted by the parties during the investigation;  </w:t>
        <w:br/>
        <w:t>Adopts the following decision:</w:t>
      </w:r>
    </w:p>
    <w:p>
      <w:r>
        <w:t xml:space="preserve">I. The concerned companies and the operation  </w:t>
        <w:br/>
        <w:t xml:space="preserve">1. Dr. Oetker France SAS is ultimately owned by the German company Dr. August Oetker KG, the parent company of the Dr. Oetker group (hereinafter "Dr. Oetker").  </w:t>
        <w:br/>
        <w:t>Dr. Oetker is active in the manufacturing of food products for professional and individual customers. The group produces and markets dessert aids, frozen pizzas, and snack biscuits to large and medium-sized retail chains (hereinafter "GMS") under the manufacturer brands (hereinafter "MDF") Dr. Oetker, Ancel, Ristorante, or Delizza. Dr. Oetker also produces dessert aids for the food service industry (hereinafter "RHF") and the food processing industry (hereinafter "IAA"), marketed under the Dr. Oetker or Sebalcé brands.</w:t>
      </w:r>
    </w:p>
    <w:p>
      <w:r>
        <w:t xml:space="preserve">2. The target assets are designated as Alsa France SAS, exclusively controlled by the Unilever group, and certain intellectual property and industrial property rights necessary for the manufacturing and marketing of food products manufactured by Alsa France SAS. The target assets mainly concern the manufacturing and marketing of dessert aids under the Alsa and Moench brands, for large distribution and professional customers.  </w:t>
        <w:br/>
        <w:t xml:space="preserve">3. The notified operation, formalized by a memorandum of understanding signed on May 2, 2018, consists of the acquisition by Dr. Oetker of the shares and voting rights of Alsa France SAS, as well as the intangible assets necessary for the activity of Alsa France SAS.  </w:t>
        <w:br/>
        <w:t xml:space="preserve">4. As it results in the exclusive control of the target assets by Dr. Oetker, the notified operation constitutes a concentration operation, within the meaning of Article L. 430-1 of the Commercial Code.  </w:t>
        <w:br/>
        <w:t>5. The concerned companies together achieve a total worldwide turnover excluding tax of more than 150 million euros (Dr. Oetker: [&gt;150 million] euros for the fiscal year ending December 31, 2017; target assets: [&gt;50] million euros for the fiscal year ending December 31, 2017). Each of these companies has achieved a turnover in France exceeding 50 million euros (Dr. Oetker: [&gt;50] million euros for the fiscal year ending December 31, 2017; target assets: [&gt;50] million euros for the fiscal year ending December 31, 2017).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6. The parties are both active in the sector of manufacturing and marketing dessert aids.  </w:t>
        <w:br/>
        <w:t xml:space="preserve">A. MARKETS FOR DESSERT AIDS  </w:t>
        <w:br/>
        <w:t xml:space="preserve">7. The decision-making practice considers that dessert aids encompass "the ingredients and accessories necessary for the preparation of desserts and include dried fruits, flavored sugars (vanilla sugar, cinnamon sugar, orange blossom sugar, etc.), yeasts, decorations, and dessert preparations (egg flans, pie toppings, whipped cream, rice cakes, clafoutis, cookies, frangipane, brownies, etc.), candied fruits, almond paste, flavors, toppings and glazes, chocolate-based products (in chips, nuggets, etc.) and gelatins."  </w:t>
        <w:br/>
        <w:t xml:space="preserve">1 Dr. Oetker is also active in the manufacturing and marketing of frozen pizzas and snack biscuits.  </w:t>
        <w:br/>
        <w:t>2 Letter from the Minister responsible for the economy C2006-30 McCormick Holding Company Inc. - Dessert Products International SAS regarding a concentration in the dessert aids sector.</w:t>
      </w:r>
    </w:p>
    <w:p>
      <w:r>
        <w:t xml:space="preserve">8. Furthermore, it makes a distinction within the market for the manufacturing and marketing of dessert aids according to the distribution channel (GMS on one hand, RHF and IAA on the other hand), which the investigation did not challenge.  </w:t>
        <w:br/>
        <w:t xml:space="preserve">1. MARKETS FOR THE MANUFACTURING AND MARKETING OF DESSERT AIDS TO GMS  </w:t>
        <w:br/>
        <w:t xml:space="preserve">a) Product Markets  </w:t>
        <w:br/>
        <w:t xml:space="preserve">Segmentation between baking aids and ready-to-prepare desserts  </w:t>
        <w:br/>
        <w:t xml:space="preserve">9. The notifying party considers that there is a market for the manufacturing and marketing of dessert aids to GMS, which includes both baking aids and ready-to-prepare desserts, as these products all contribute to the creation of a "homemade" dessert, notably because all these products are sold within the same aisle in GMS.  </w:t>
        <w:br/>
        <w:t xml:space="preserve">10. However, all customers and the majority of competitors surveyed in the market tests consider that it is necessary to segment the overall market for dessert aids between (i) baking aid ingredients (yeast, vanilla sugar, dried fruits and candied fruits, almond paste, vanilla pods or liquid extract, candles, etc.) and (ii) ready-to-prepare desserts (preparation for chocolate fondant, preparation for entremet, etc.).  </w:t>
        <w:br/>
        <w:t xml:space="preserve">11. Baking aids are indeed ingredients of the dessert, "raw materials" that must be gathered and manipulated to achieve a dessert, while ready-to-prepare desserts are almost finished products, requiring at most the addition of a limited number of fresh products (such as milk, eggs, cream, or butter) and limited manipulations.  </w:t>
        <w:br/>
        <w:t xml:space="preserve">12. Moreover, the notifying party indicates that "when [the consumer] buys a cake preparation (...), [he] can very well be led to complement this purchase with, for example, candles, topping, or decoration." This reveals, from a demand perspective, a complementarity between baking aids and ready-to-prepare desserts and not the alleged substitutability.  </w:t>
        <w:br/>
        <w:t xml:space="preserve">13. Finally, baking aids are not produced on the same lines as ready-to-prepare desserts, both in terms of product preparation and packaging, which also excludes any substitutability, from the supply side, between these categories of products.  </w:t>
        <w:br/>
        <w:t xml:space="preserve">14. In light of all these elements, a segmentation between baking aids and ready-to-prepare desserts will be retained.  </w:t>
        <w:br/>
        <w:t xml:space="preserve">(i) The market for the manufacturing and marketing of baking aids  </w:t>
        <w:br/>
        <w:t xml:space="preserve">15. Baking aids refer to products that can have different uses. For example, baking powder, which is necessary for leavening dough, and sugar sprinkles used to decorate a cake, correspond to different uses, even though they both contribute to the preparation of a dessert.  </w:t>
        <w:br/>
        <w:t>16. Furthermore, baking aids are marketed in various packaging, including, sometimes, for the same product. For illustrative purposes, vanilla can be marketed in the form of vanilla sugar in sachets, vanilla flavor sold in bottles, or pods presented in a plastic case. However, production lines may require different packaging.</w:t>
      </w:r>
    </w:p>
    <w:p>
      <w:r>
        <w:rPr>
          <w:b/>
        </w:rPr>
        <w:t>[Pages 4–6]</w:t>
      </w:r>
    </w:p>
    <w:p>
      <w:r>
        <w:t xml:space="preserve">adaptations according to the type of product packaging. For example, bottling a liquid requires different technology from packaging a powder in a sachet.  </w:t>
        <w:br/>
        <w:t xml:space="preserve">17. Thus, the substitutability between the different baking aid products, both in terms of demand and supply, could be reduced.  </w:t>
        <w:br/>
        <w:t xml:space="preserve">18. In this case, the activities of the parties only overlap in yeast and flavored sugars. Therefore, it is not necessary, within the framework of the present operation, to question other possible segmentations of the baking aid manufacturing and marketing market.  </w:t>
        <w:br/>
        <w:t xml:space="preserve">19. Regarding flavored sugars and yeast, half of the competitors and a minority of distributors consider that they belong to a distinct segment. Several of them cite, to justify their response, studies from the Kantar and IRI panelists, which identify flavored sugars and yeast as a specific segment.  </w:t>
        <w:br/>
        <w:t xml:space="preserve">20. The question of segmentation between flavored sugars, on the one hand, and yeast, on the other hand, may also arise, given their different uses. Nevertheless, flavored sugars and yeast appear substitutable from the supply perspective. Firstly, their packaging, in particular, is similar, as these two types of products are most often sold in paper sachets of 7 to 10 grams. Secondly, all surveyed competitors who are active in the production of yeast are also active in the production of flavored sugars, and vice versa. Lastly, all of these products are sold to the same customers, who place them in the same aisles.  </w:t>
        <w:br/>
        <w:t xml:space="preserve">21. Therefore, it does not seem relevant to consider a segmentation between flavored sugars, on the one hand, and yeast, on the other hand.  </w:t>
        <w:br/>
        <w:t xml:space="preserve">22. In light of the above elements, the competitive analysis will therefore be conducted both on the overall market for baking aids and on the potential segment of flavored sugars and yeast, without the need to resolve the question of whether this latter segment constitutes a distinct market, as the competitive analysis remains unchanged regardless of the segmentation considered.  </w:t>
        <w:br/>
        <w:t xml:space="preserve">(ii) The market for ready-to-prepare desserts  </w:t>
        <w:br/>
        <w:t xml:space="preserve">23. Ready-to-prepare desserts are preparations that already contain several ingredients. They most often take the form of powders to which only one or two ingredients, generally fresh products like butter or eggs, need to be added to finalize the dessert. They can also come in the form of ready-to-use pastes, which do not require the addition of ingredients.  </w:t>
        <w:br/>
        <w:t xml:space="preserve">24. The notifying party did not consider it relevant to segment between powdered ready-to-prepare desserts and those in the form of ready-to-use pastes. This position is confirmed by almost all respondents to the market test. The competitive analysis will therefore be conducted on a market encompassing ready-to-prepare desserts in the form of powders or ready-to-use pastes.  </w:t>
        <w:br/>
        <w:t xml:space="preserve">25. Ready-to-prepare desserts thus cover all preparations for cakes (moist cakes, chocolate fondants, cookies, pie toppings, brownies, etc.) and for milk-based desserts (flans, mousses, puddings, crème brûlées, custards, rice cakes, clafoutis, etc.). A segmentation could be considered within ready-to-prepare desserts to distinguish between cake preparations and milk-based dessert preparations.  </w:t>
        <w:br/>
        <w:t xml:space="preserve">26. Indeed, while the parties produce both types of desserts, elements suggest that the demand for these products could be different. In particular, the customers of the parties surveyed in the market test indicate that the profile of consumers of ready-to-prepare cakes differs from that of consumers of ready-to-prepare milk desserts.  </w:t>
        <w:br/>
        <w:t xml:space="preserve">27. However, only a minority of customers favor an additional segmentation between ready-to-prepare cakes and ready-to-prepare milk desserts. Furthermore, no competitor advocates for such segmentation.  </w:t>
        <w:br/>
        <w:t xml:space="preserve">28. Moreover, ready-to-prepare cakes and milk desserts are produced on similar production lines.  </w:t>
        <w:br/>
        <w:t xml:space="preserve">29. In light of these elements, there is no need to segment between ready-to-prepare cakes and ready-to-prepare milk desserts.  </w:t>
        <w:br/>
        <w:t xml:space="preserve">30. Consequently, the competitive analysis will be carried out on the market for the manufacturing and marketing of ready-to-prepare desserts.  </w:t>
        <w:br/>
        <w:t xml:space="preserve">Segmentation according to the commercial positioning of products  </w:t>
        <w:br/>
        <w:t xml:space="preserve">31. Regarding dessert aids, the decision-making practice did not adopt a segmentation based on the commercial positioning of the products, whether sold under private label or under distributor brand (hereinafter "MDD").  </w:t>
        <w:br/>
        <w:t xml:space="preserve">(i) Position of the notifying party  </w:t>
        <w:br/>
        <w:t xml:space="preserve">32. The notifying party considers that the markets for dessert aids should not be segmented based on the commercial positioning of the products. In this regard, it emphasizes the proximity of the parties' products, sold exclusively under private label, to products sold under distributor brand, in terms of their recipes, format, and packaging appearance.  </w:t>
        <w:br/>
        <w:t xml:space="preserve">33. Furthermore, the notifying party insists on the proximity of selling prices between MDD and private label. It states that "MDD have a pricing position very close to that of Ancel and often offer prices higher than those of Ancel."  </w:t>
        <w:br/>
        <w:t xml:space="preserve">34. In addition, it highlights the competition from MDD in the context of commercial negotiations. It cites the example of its 2017 commercial negotiations with a large retail chain to demonstrate the proximity between MDD and private label.  </w:t>
        <w:br/>
        <w:t xml:space="preserve">35. Finally, the notifying party argues, providing an economic study in support of its position, that the cross-elasticities between these two categories of products are significant.  </w:t>
        <w:br/>
        <w:t xml:space="preserve">(ii) Assessment in the specific case  </w:t>
        <w:br/>
        <w:t xml:space="preserve">36. The elements provided by the notifying party do not demonstrate a competitive proximity between MDD and private label.  </w:t>
        <w:br/>
        <w:t xml:space="preserve">37. Firstly, regarding ready-to-prepare desserts, the analysis produced by the notifying party in support of the alleged price proximity between MDD and private label does not take into account certain dimensions such as format (number of servings, for example) or the ingredients to be added. It emerges from the investigation that, when these elements are integrated into the analysis, private label products are on average 15 to 20% more expensive than their MDD equivalents, for the same number of servings, and taking into account the cost of the ingredients to be added.  </w:t>
        <w:br/>
        <w:t xml:space="preserve">38. Secondly, MDD are rarely mentioned in the parties' negotiation reports with large retailers, which demonstrates that customers make few trade-offs between MDD and private label.  </w:t>
        <w:br/>
        <w:t xml:space="preserve">39. Thirdly, the "cross-elasticity rates" calculated by the notifying party using two different methods illustrate that consumers make more trade-offs between products marketed under different private labels than between products marketed under private label and those under MDD. For example, the average cross-elasticity rates from Alsa to Ancel are [50-60]% with the first method and [80-90]% with the second, which is much higher than the average cross-elasticity rates from Alsa to MDD, estimated at [5-10]% or [20-30]% depending on the method. Similarly, the average cross-elasticity rates from Ancel to Alsa are [20-30]% with the first method and [80-90]% with the second; they are also significantly higher than the cross-elasticity rates from Ancel to MDD, estimated at [0-5]% or [10-20]% depending on the method.  </w:t>
        <w:br/>
        <w:t xml:space="preserve">40. Beyond these findings, which suggest that the arguments put forward by the notifying party in support of a competitive proximity between MDD and private label can be dismissed, other elements in the file relativize the competitive pressure of MDD on private label.  </w:t>
        <w:br/>
        <w:t xml:space="preserve">41. First of all, the penetration rate of MDD in the relevant markets, although it has increased in recent years, remains limited, as it stands at around [10-20]%, while the overall penetration rate for consumer goods is [30-40]% as of January 2018.  </w:t>
        <w:br/>
        <w:t xml:space="preserve">42. Furthermore, while the producers surveyed confirmed that the manufacturing processes are similar between MDD and private label, not all players in the dessert aids markets produce both MDD and private label. Some well-known brand producers, such as the parties, but also McCormick (notably the Vahiné brand) and Nestlé, exclusively market private label.  </w:t>
        <w:br/>
        <w:t xml:space="preserve">43. In addition, half of the parties' competitors indicated that there are substantial differences in composition between products marketed under MDD and those under private label. These differences concern the origin of raw materials, the quality of packaging, and the composition of the products. The notifying party confirmed this last point regarding ready-to-prepare desserts, although the recognized differences between MDD and private label were less about the nature of the selected ingredients than about the proportions.  </w:t>
        <w:br/>
        <w:t>44. Finally, the brand recognition, particularly of the parties' brands, appears to be an important success factor. Thus, two-thirds of customers indicated that Alsa was an essential brand for sugars and yeasts and for ready-to-prepare desserts, and that Ancel was an essential brand for ready-to-prepare desserts. Moreover, the notifying party explains that the operation aims to enable Dr. Oetker to expand its offer in the baking aids segment to compete with McCormick. In this regard, it states that "the investments for this purpose do not lie in production (...) but much more in marketing, McCormick/Vahiné having, due to the depth of its range and its commercial policy, acquired a significant lead." It thus appears that significant investments are necessary to develop and support a private label in this sector. Finally, in its developments on potential competition, the notifying party identifies the possession of "well-known brands in the French market" as likely to hinder entry into the market.</w:t>
      </w:r>
    </w:p>
    <w:p>
      <w:r>
        <w:rPr>
          <w:b/>
        </w:rPr>
        <w:t>[Pages 7–9]</w:t>
      </w:r>
    </w:p>
    <w:p>
      <w:r>
        <w:t xml:space="preserve">the market "all the more likely and easy." It follows from all these elements that the brand holds a certain importance in the various markets for dessert aids.  </w:t>
        <w:br/>
        <w:t xml:space="preserve">45. In light of the above, a segmentation of each of these markets according to the commercial positioning of the products cannot be excluded.  </w:t>
        <w:br/>
        <w:t xml:space="preserve">46. The effects of the operation will therefore be analyzed both on each market for dessert aids (baking aids, potential segment of yeasts and flavored sugars, ready-to-prepare desserts), considering either grouping the products marketed under private label or under manufacturer brand, or, conversely, isolating a segment of manufacturer brand. Since the parties do not produce private label products, it is not necessary to analyze the effects of the operation on a potential segment of products marketed under private label.  </w:t>
        <w:br/>
        <w:t xml:space="preserve">47. However, the question of segmentation according to commercial positioning may be left open, as the conclusions of the competitive analysis remain unchanged regardless of the hypothesis retained.  </w:t>
        <w:br/>
        <w:t xml:space="preserve">b) Geographic Markets  </w:t>
        <w:br/>
        <w:t xml:space="preserve">48. National and European decision-making practice has noted that the distribution channels in large retail chains for dessert aids are national in scope, that consumers' culinary habits differ from country to country, that many products are only marketed in certain countries of the European Union, and that recipes and packaging methods also vary by country due to different consumption habits, even for similar products. The notifying party did not challenge this delimitation.  </w:t>
        <w:br/>
        <w:t xml:space="preserve">49. The competitive analysis of the present operation will therefore be conducted considering a national dimension for the various markets for dessert aids.  </w:t>
        <w:br/>
        <w:t xml:space="preserve">2. MARKETS FOR THE MANUFACTURING AND MARKETING OF DESSERT AIDS FOR THE FOOD SERVICE INDUSTRY AND FOOD PROCESSING INDUSTRY  </w:t>
        <w:br/>
        <w:t xml:space="preserve">a) Product Markets  </w:t>
        <w:br/>
        <w:t xml:space="preserve">50. Decision-making practice identifies a market for dessert aids intended for the food service industry and food processing industry.  </w:t>
        <w:br/>
        <w:t xml:space="preserve">51. The notifying party considers that the market for the manufacturing and marketing of dessert aids for the food service industry and food processing industry should be segmented between (i) the manufacturing and marketing to the food service industry of dessert aids, and more specifically ready-to-prepare desserts, and (ii) the manufacturing and marketing of dessert aids for the bakery-pastry sector concerning the food processing industry.  </w:t>
        <w:br/>
        <w:t xml:space="preserve">52. In any case, the exact delimitation of the market may be left open, as, regardless of the segment considered, the competitive analysis remains unchanged.  </w:t>
        <w:br/>
        <w:t xml:space="preserve">b) Geographic Markets  </w:t>
        <w:br/>
        <w:t xml:space="preserve">53. The notifying party considers that the markets for the manufacturing and marketing of dessert aids for the food service industry and food processing industry are national in scope. It notes that wholesalers are national and that consumers' culinary habits, and consequently the marketed products, differ from country to country.  </w:t>
        <w:br/>
        <w:t xml:space="preserve">54. Decision-making practice has not ruled on the geographic delimitation of the manufacturing and marketing of dessert aids for the food service industry and food processing industry. However, it considers that the markets for the supply of food products have a national dimension. It has thus found that consumers' preferences, tastes, and eating habits, differences in prices, variations in market shares held by major operators according to member states, and the presence of manufacturer or distributor brands marketed only nationally do not allow for a European dimension of the market to be retained.  </w:t>
        <w:br/>
        <w:t xml:space="preserve">55. Consequently, for the purposes of this analysis, the competitive analysis will be conducted on markets of national dimension.  </w:t>
        <w:br/>
        <w:t xml:space="preserve">B. MARKETS FOR THE MANUFACTURING AND MARKETING OF GELLING AGENTS AND GELLING SUGARS  </w:t>
        <w:br/>
        <w:t xml:space="preserve">1. Product Markets  </w:t>
        <w:br/>
        <w:t xml:space="preserve">56. To date, there is no decision-making practice identifying a market for the manufacturing and marketing of gelling agents and gelling sugars.  </w:t>
        <w:br/>
        <w:t xml:space="preserve">57. The notifying party considers that gelling agents and gelling sugars constitute a distinct market from that of dessert aids. Indeed, these products are intended for the making of jams and jellies, which do not solely constitute desserts. Furthermore, it argues that, on the shelves, these products are generally located near sugars and flours and not near dessert aids.  </w:t>
        <w:br/>
        <w:t xml:space="preserve">58. Regarding the distribution channel, the target assets and Dr. Oetker are simultaneously active in the manufacturing and marketing of gelling agents and gelling sugars to large retail chains. Neither party markets these products to the food service industry or food processing industry.  </w:t>
        <w:br/>
        <w:t xml:space="preserve">59. The notifying party does not express a position on a potential distinction according to the commercial positioning of the products. In this regard, the investigation reveals a limited penetration rate of gelling agents and gelling sugars in private label, around [10-20]%.  </w:t>
        <w:br/>
        <w:t xml:space="preserve">60. Without needing to resolve the question of the existence of a market for the manufacturing and marketing of gelling agents and gelling sugars or the relevance of potential segmentations of this market, the competitive analysis will be conducted on the potential market for the manufacturing and marketing of gelling agents and gelling sugars to large retail chains, which constitutes the most conservative approach since the parties only market gelling agents and gelling sugars to large retail chains.  </w:t>
        <w:br/>
        <w:t xml:space="preserve">2. Geographic Markets  </w:t>
        <w:br/>
        <w:t xml:space="preserve">61. The notifying party considers that the market for the manufacturing and marketing of gelling agents and gelling sugars to large retail chains is national in scope, which the investigation did not challenge.  </w:t>
        <w:br/>
        <w:t xml:space="preserve">62. The competitive analysis will be conducted on a potential market for the manufacturing and marketing of gelling agents and gelling sugars to large retail chains of national dimension.  </w:t>
        <w:br/>
        <w:t xml:space="preserve">III. Competitive Analysis  </w:t>
        <w:br/>
        <w:t xml:space="preserve">63. The parties are simultaneously active in the markets for the manufacturing and marketing to large retail chains of ready-to-prepare desserts, flavored sugars and yeasts, and gelling agents and gelling sugars, as well as in the markets for the manufacturing and marketing to the food service industry and food processing industry of dessert aids. The operation is therefore likely to produce horizontal effects in these markets (A).  </w:t>
        <w:br/>
        <w:t xml:space="preserve">64. Furthermore, the operation is likely to have conglomerate effects, particularly between the different markets for the manufacturing and marketing of dessert aids to large retail chains (B).  </w:t>
        <w:br/>
        <w:t xml:space="preserve">A. ANALYSIS OF HORIZONTAL EFFECTS  </w:t>
        <w:br/>
        <w:t xml:space="preserve">65. Dr. Oetker and the target assets are simultaneously present in the markets for the manufacturing and marketing to large retail chains of baking aids (a), ready-to-prepare desserts (b), as well as in the markets for the manufacturing and marketing of dessert aids intended for the food service industry and food processing industry (c). The parties are also simultaneously active in the potential market for the manufacturing and marketing of gelling agents and gelling sugars intended for large retail chains (d).  </w:t>
        <w:br/>
        <w:t xml:space="preserve">a) Markets for the manufacturing and marketing to large retail chains of baking aids  </w:t>
        <w:br/>
        <w:t>66. In the market for the manufacturing and marketing to large retail chains of baking aids, the activity only overlaps on two types of products: yeasts and flavored sugars. As indicated above in paragraph 22, to the extent that the investigation has identified indicators that may suggest the existence of a specific market for flavored sugars and yeasts, the competitive analysis is conducted on the market for the manufacturing and marketing of baking aids to large retail chains and on the potential market for the manufacturing and marketing of flavored sugars and yeasts.</w:t>
      </w:r>
    </w:p>
    <w:p>
      <w:r>
        <w:rPr>
          <w:b/>
        </w:rPr>
        <w:t>[Pages 10–12]</w:t>
      </w:r>
    </w:p>
    <w:p>
      <w:r>
        <w:t xml:space="preserve">Global market for the manufacturing and marketing of baking aids to large retail chains  </w:t>
        <w:br/>
        <w:t xml:space="preserve">67. In the global market for the manufacturing and marketing of baking aids to large retail chains, the market shares, in value, of the new entity and its competitors are as follows:  </w:t>
        <w:br/>
        <w:t xml:space="preserve">Market including private labels and Market including only  </w:t>
        <w:br/>
        <w:t xml:space="preserve">branded products branded products  </w:t>
        <w:br/>
        <w:t xml:space="preserve">Dr. Oetker [0-5] % [0-5] %  </w:t>
        <w:br/>
        <w:t xml:space="preserve">Target assets [5-10] % [10-20] %  </w:t>
        <w:br/>
        <w:t xml:space="preserve">New entity [5-10] % [10-20] %  </w:t>
        <w:br/>
        <w:t xml:space="preserve">McCormick (Vahiné) [40-50] % [50-60] %  </w:t>
        <w:br/>
        <w:t xml:space="preserve">Lesaffre (Fala, Hirondelle) [0-5] % [0-5] %  </w:t>
        <w:br/>
        <w:t xml:space="preserve">Sainte Lucie [0-5] % [5-10] %  </w:t>
        <w:br/>
        <w:t xml:space="preserve">Daco France [0-5] % [0-5] %  </w:t>
        <w:br/>
        <w:t xml:space="preserve">Les Maîtres chocolatiers [0-5] % [0-5] %  </w:t>
        <w:br/>
        <w:t xml:space="preserve">(La Patelière)  </w:t>
        <w:br/>
        <w:t xml:space="preserve">Nutrixo (Francine) [0-5] % [0-5] %  </w:t>
        <w:br/>
        <w:t xml:space="preserve">Lea Nature [0-5] % [0-5] %  </w:t>
        <w:br/>
        <w:t xml:space="preserve">CPVD - Foulon [0-5] % [0-5] %  </w:t>
        <w:br/>
        <w:t xml:space="preserve">Gist-Brocades [0-5] % [0-5] %  </w:t>
        <w:br/>
        <w:t xml:space="preserve">Others13 [30-40] % [10-20] %  </w:t>
        <w:br/>
        <w:t xml:space="preserve">including products marketed [20-30] % -  </w:t>
        <w:br/>
        <w:t xml:space="preserve">under private labels  </w:t>
        <w:br/>
        <w:t xml:space="preserve">68. In this market, the new entity will thus have a market share of up to [10-20] % with an increment of [0-5] points and will face competition from McCormick ([40-50] % in a market including both branded and private label products, [50-60] % in a market limited to products marketed under branded labels) which, with the Vahiné brand, is the leading player in the market. Several smaller players are present in the market, such as Sainte Lucie, Nutrixo, with the Francine brand, or Les Maîtres chocolatiers with the La Patelière brand.  </w:t>
        <w:br/>
        <w:t xml:space="preserve">69. Given these elements, the operation is not likely to harm competition through horizontal effects in the market for the manufacturing and marketing of baking aids to large retail chains.  </w:t>
        <w:br/>
        <w:t>13 As indicated in decision No. 18-DCC-95 of June 14, 2018, regarding the exclusive takeover of part of the ambient prepared meals division of the Agripole group by Financière Cofigeo, "To assess the position of players in these markets, it is necessary to take into account the entirety of the operators' activities, and to consider the sales they make under branded and private labels." Rather than attributing a market share to a fictitious private label operator, it would therefore be appropriate, for the purposes of calculating market shares, to attribute to each operator its production both under branded and private labels. However, the data in the file do not allow for such attribution and the category "Others" thus includes, in particular, products marketed under private labels. In any case, the competitive analysis would remain unchanged in this instance.</w:t>
      </w:r>
    </w:p>
    <w:p>
      <w:r>
        <w:t xml:space="preserve">Market for the manufacturing and marketing of flavored sugars and yeasts to large retail chains  </w:t>
        <w:br/>
        <w:t xml:space="preserve">70. In the potential market for the manufacturing and marketing of flavored sugars and yeasts to large retail chains, the market shares, in value, of the new entity and its competitors are as follows:  </w:t>
        <w:br/>
        <w:t xml:space="preserve">Market including private labels and Market including only  </w:t>
        <w:br/>
        <w:t xml:space="preserve">branded products branded products  </w:t>
        <w:br/>
        <w:t xml:space="preserve">Dr. Oetker [0-5] % [0-5] %  </w:t>
        <w:br/>
        <w:t xml:space="preserve">Target assets [40-50] % [40-50] %  </w:t>
        <w:br/>
        <w:t xml:space="preserve">New entity [40-50] % [50-60] %  </w:t>
        <w:br/>
        <w:t xml:space="preserve">McCormick (Vahiné) [10-20] % [20-30] %  </w:t>
        <w:br/>
        <w:t xml:space="preserve">Lesaffre (Fala, Hirondelle) [5-10] % [5-10] %  </w:t>
        <w:br/>
        <w:t xml:space="preserve">Sainte Lucie [0-5] % [0-5] %  </w:t>
        <w:br/>
        <w:t xml:space="preserve">Les Maîtres chocolatiers (La [0-5] % [0-5] %  </w:t>
        <w:br/>
        <w:t xml:space="preserve">Patelière)  </w:t>
        <w:br/>
        <w:t xml:space="preserve">Nutrixo (Francine) [0-5] % [0-5] %  </w:t>
        <w:br/>
        <w:t xml:space="preserve">CPVD - Foulon [0-5] % [0-5] %  </w:t>
        <w:br/>
        <w:t xml:space="preserve">Gist-Brocades [0-5] % [0-5] %  </w:t>
        <w:br/>
        <w:t xml:space="preserve">Others14 [10-20] % [0-5] %  </w:t>
        <w:br/>
        <w:t xml:space="preserve">including products marketed [10-20] % -  </w:t>
        <w:br/>
        <w:t xml:space="preserve">under private labels  </w:t>
        <w:br/>
        <w:t xml:space="preserve">71. In this potential market, the new entity will thus have a market share between [40-50] %, in a market including both branded and private label products, and [50-60] % in a market limited to products marketed under branded labels.  </w:t>
        <w:br/>
        <w:t xml:space="preserve">72. Despite this significant position of the new entity, the operation does not appear likely to lead to horizontal effects in this potential market, for several reasons.  </w:t>
        <w:br/>
        <w:t xml:space="preserve">73. First, the operation does not significantly alter the structure of the market. Indeed, Dr. Oetker's market share in the market for yeasts and flavored sugars reaches at most [0-5] %. Moreover, its notoriety is limited for these products, as evidenced by the studies submitted by the notifying party regarding Dr. Oetker's brand image, which never mention yeasts and flavored sugars, unlike those concerning Alsa's brand image. The competitive pressure exerted by Dr. Oetker on Alsa is therefore very limited.  </w:t>
        <w:br/>
        <w:t xml:space="preserve">74. Furthermore, like Alsa before the operation, the new entity will face competition from two significant players: McCormick ([10-20] % in a market including both branded and private label products, [20-30] % in a market limited to products marketed under branded labels) and Lesaffre with the Hirondelle and Fala brands ([5-10] % in a market including both branded and private label products, [5-10] % in a market limited to products marketed under branded labels). Additionally, it should be noted that Unilever, which owned the target assets before the operation, will remain present in the market through the Maïzena brand, which offers gluten-free yeast.  </w:t>
        <w:br/>
        <w:t xml:space="preserve">75. Finally, Dr. Oetker's market share tends to decrease. Data collected on the first three quarters of 2018 indicate a decline of [0-5] points in its market share in a market including both branded and private label products, dropping from [0-5] % in 2017 to [0-5] % in 2018, and a decline of [0-5] points in a market limited to products marketed under branded labels, dropping from [5-10] % in 2017 to [0-5] % in 2018. In parallel, competitors of the new entity are experiencing positive dynamics, such as McCormick, whose market share has gained [0-5] points to reach [10-20] % or [20-30] % depending on whether the market includes products marketed under private labels.  </w:t>
        <w:br/>
        <w:t xml:space="preserve">76. Given these elements, the operation is not likely to harm competition through horizontal effects in the market for the manufacturing and marketing of baking aids to large retail chains or in the potential market for the manufacturing and marketing of flavored sugars and yeasts to large retail chains.  </w:t>
        <w:br/>
        <w:t xml:space="preserve">b) Market for the manufacturing and marketing of ready-to-prepare desserts to large retail chains  </w:t>
        <w:br/>
        <w:t xml:space="preserve">77. In this market, the market shares, in value, of the new entity and its competitors are as follows:  </w:t>
        <w:br/>
        <w:t xml:space="preserve">Market including private labels and Market including only  </w:t>
        <w:br/>
        <w:t xml:space="preserve">branded products branded products  </w:t>
        <w:br/>
        <w:t xml:space="preserve">Buyer [10-20] % [20-30] %  </w:t>
        <w:br/>
        <w:t xml:space="preserve">Target [40-50] % [50-60] %  </w:t>
        <w:br/>
        <w:t xml:space="preserve">New entity [50-60] % [70-80] %  </w:t>
        <w:br/>
        <w:t xml:space="preserve">Nestlé [5-10] % [5-10] %  </w:t>
        <w:br/>
        <w:t xml:space="preserve">Nutrixo [0-5] % [0-5] %  </w:t>
        <w:br/>
        <w:t xml:space="preserve">Continental Foods [0-5] % [0-5] %  </w:t>
        <w:br/>
        <w:t xml:space="preserve">Lactalis [0-5] % [0-5] %  </w:t>
        <w:br/>
        <w:t xml:space="preserve">Jock [0-5] % [0-5] %  </w:t>
        <w:br/>
        <w:t xml:space="preserve">Others15 [20-30] % [0-5] %  </w:t>
        <w:br/>
        <w:t xml:space="preserve">including products marketed [10-20] % -  </w:t>
        <w:br/>
        <w:t xml:space="preserve">under private labels  </w:t>
        <w:br/>
        <w:t xml:space="preserve">78. In this market, the new entity will thus have a market share of [50-60] % in a market including both branded and private label products, and [70-80] % in a market limited to products marketed under branded labels. The increment associated with the operation will be between [10-20] and [20-30] points.  </w:t>
        <w:br/>
        <w:t xml:space="preserve">79. The first competitor of the new entity marketing products under branded labels is Nestlé with a market share of less than [5-10] %, [5-10] times lower than that of the new entity. Other competitors in branded products have market shares of 5 % or less, regardless of the segmentation chosen. As for products marketed under private labels, assuming they are in the same market as the products of the new entity, they are distributed among several producers and, overall, represent less than 20 % of sales.  </w:t>
        <w:br/>
        <w:t xml:space="preserve">80. Beyond these observations regarding the strong market share of the new entity, which contrasts with that of the competitors currently present in the market, the risk of horizontal effects is heightened by the competitive proximity between the parties, demonstrated by several elements.  </w:t>
        <w:br/>
        <w:t xml:space="preserve">81. First, the operation concerns two of the main well-known brands in the ready-to-prepare desserts market. In this regard, three-quarters of the parties' customers indicated during market tests that the Alsa and Ancel brands were essential in the ready-to-prepare desserts market.  </w:t>
        <w:br/>
        <w:t>15 Cf. note de bas de page 13, page 10 de la présente décision.</w:t>
      </w:r>
    </w:p>
    <w:p>
      <w:r>
        <w:rPr>
          <w:b/>
        </w:rPr>
        <w:t>[Pages 13–15]</w:t>
      </w:r>
    </w:p>
    <w:p>
      <w:r>
        <w:t xml:space="preserve">The market tests also reveal that these two brands have an unmatched range of products in the market.  </w:t>
        <w:br/>
        <w:t xml:space="preserve">82. Secondly, the negotiation reports of the parties with their distributor clients confirm that clients frequently make trade-offs between the parties, and thus the parties significantly constrain each other's behavior in the market. For example, in 2016, a negotiation report from Dr. Oetker indicates that [Confidential]... Thus, it appears that the parties are close competitors between whom client trade-offs are frequent.  </w:t>
        <w:br/>
        <w:t xml:space="preserve">83. Thirdly, the economic study provided by the notifying party supports the extent of the trade-offs that clients make between the parties. Indeed, as developed in paragraph 39, the switching rates between Alsa and Ancel are found to be very high.  </w:t>
        <w:br/>
        <w:t xml:space="preserve">84. Despite these elements, the notifying party argues that the operation is not likely to raise competition concerns in the market for the manufacturing and marketing of ready-to-prepare desserts due in particular to the strong purchasing power of large retail chains, illustrated by the price reductions of the parties during recent negotiations with large retail chains, despite increases in production costs (notably related to raw materials). The large retail chains have also demonstrated their ability to delist the parties' products and find alternatives from competitors currently present in the market, but also, potentially, from new entrants who could enter the market if the operation resulted in price increases or a deterioration in the quality of the products of the new entity.  </w:t>
        <w:br/>
        <w:t xml:space="preserve">85. However, the aforementioned guidelines specifically address the assessment of the purchasing power of large retail chains in relation to their suppliers. They specify, in paragraph 431, that: “[t]he exercise of countervailing power by retailers vis-à-vis their suppliers is not […] absolute. […] The countervailing power of demand exists only to the extent that it is able to threaten to turn, within a reasonable time frame, to alternative sources of supply if the supplier decides to raise its prices.”  </w:t>
        <w:br/>
        <w:t xml:space="preserve">86. Firstly, it is necessary to recall that the countervailing power of large retail chains must be assessed in light of the market structure created by the operation. In this case, it is a matter of questioning the ability of large retail chains to delist the new entity which, following the operation, will solely hold the brands Ancel, Alsa, and Dr. Oetker.  </w:t>
        <w:br/>
        <w:t xml:space="preserve">87. In this regard, it emerges from the investigation that over the past three years, large retail chains have rarely delisted Alsa or Dr. Oetker/Ancel products, and that, for the best-selling recipes, distributors systematically or almost always list at least one of the two brands. Thus, it seems unrealistic for clients to do without all the brands of the new entity.  </w:t>
        <w:br/>
        <w:t xml:space="preserve">88. Secondly, the countervailing power of demand is all the more likely to be exercised when there are credible alternatives to the parties' products.  </w:t>
        <w:br/>
        <w:t xml:space="preserve">89. However, as indicated in paragraph 80, the main competitor of the new entity is Nestlé, with a market share of less than 10%, which does not appear to be a credible alternative from the clients' perspective: [Confidential].  </w:t>
        <w:br/>
        <w:t xml:space="preserve">90. Private label brands do not constitute an alternative to the parties' products either, as the brands hold significant importance in the market. Three-quarters of the parties' clients indicated that the brands Alsa and Ancel are essential in the market for ready-to-prepare desserts.  </w:t>
        <w:br/>
        <w:t>91. Consequently, there is currently no credible alternative to the products marketed by the parties.</w:t>
      </w:r>
    </w:p>
    <w:p>
      <w:r>
        <w:t xml:space="preserve">92. Regarding potential competition, the notifying party identified several competitors who, in the event of a price increase by the new entity, could either increase their supply in the market (McCormick and Nestlé) or decide to enter the market (Lindt &amp; Sprügli, Mondelez, or RUF, present in other European countries).  </w:t>
        <w:br/>
        <w:t xml:space="preserve">93. However, McCormick reduced its offer of ready-to-prepare desserts in 2014 and refocused its offer on certain cake preparations (shortbread, frangipane cream, lemon cream, almond cream, and cupcakes). Similarly, Nestlé ceased offering milk-based dessert preparations (mousses, flans, and cream pots) in 2017.  </w:t>
        <w:br/>
        <w:t xml:space="preserve">94. In these circumstances, an expansion of the offer by these two players in the ready-to-prepare dessert market seems unlikely.  </w:t>
        <w:br/>
        <w:t xml:space="preserve">95. Furthermore, the market test conducted with the potential competitors identified by the notifying party did not confirm the likelihood of such entry.  </w:t>
        <w:br/>
        <w:t xml:space="preserve">96. Consequently, it appears that there is no credible alternative to the new entity in the market for ready-to-prepare desserts.  </w:t>
        <w:br/>
        <w:t>97. In light of all these elements, the operation is likely to significantly harm competition through horizontal effects in the market for the manufacturing and marketing of ready-to-prepare desserts to large retail chains. However, the notifying party has submitted commitments, last modified on January 23, 2019, and presented in section IV, to address the anticompetitive risks identified above.</w:t>
      </w:r>
    </w:p>
    <w:p>
      <w:r>
        <w:t xml:space="preserve">c) Markets for the manufacturing and marketing of dessert aids for the food service industry and the food processing industry (bakery-pastry)  </w:t>
        <w:br/>
        <w:t xml:space="preserve">98. In the markets for the manufacturing and marketing of dessert aids for the food service industry and the food processing industry (bakery-pastry), the new entity will have a market share of less than [10-20]% after the operation, with an increment consistently below [0-5] points, regardless of the segmentation chosen.  </w:t>
        <w:br/>
        <w:t xml:space="preserve">99. In the potential segment of dessert aids intended for the food service industry, the new entity will face competition from powerful players such as Nestlé, Continental Foods, and McCormick.  </w:t>
        <w:br/>
        <w:t xml:space="preserve">100. In the potential segment of the manufacturing and marketing of dessert aids for the food processing industry (bakery-pastry), the new entity will face competition from several players such as Puratos, CSM Bakery Solutions, and Complet.  </w:t>
        <w:br/>
        <w:t>101. In light of these various elements, the operation is not likely to harm competition through horizontal effects in the markets for the manufacturing and marketing of dessert aids for the food service industry and the food processing industry.</w:t>
      </w:r>
    </w:p>
    <w:p>
      <w:r>
        <w:t xml:space="preserve">d) Market for the manufacturing and marketing of gelling agents and gelling sugars to large retail chains  </w:t>
        <w:br/>
        <w:t xml:space="preserve">102. In the potential market for the manufacturing and marketing of gelling agents and gelling sugars to large retail chains, the new entity will have a market share of [10-20]%, with an increment of [5-10] points.  </w:t>
        <w:br/>
        <w:t xml:space="preserve">103. The new entity will face competition from several powerful operators, notably Saint-Louis ([20-30]%), Téréos Beghin Say ([20-30]%), and Cristalco ([10-20]%).  </w:t>
        <w:br/>
        <w:t>104. Consequently, the operation is not likely to harm competition through horizontal effects in the potential market for the manufacturing and marketing of gelling agents and gelling sugars to large retail chains.</w:t>
      </w:r>
    </w:p>
    <w:p>
      <w:r>
        <w:t xml:space="preserve">2. ANALYSIS OF CONGLOMERATE EFFECTS  </w:t>
        <w:br/>
        <w:t xml:space="preserve">105. A concentration has conglomerate effects when the new entity extends or strengthens its presence in several markets whose connection may allow it to increase its market power. The decision-making practice of competition authorities generally considers that a risk of conglomerate effect can be ruled out as long as the share of the entity resulting from the operation in the relevant markets does not exceed 30%.  </w:t>
        <w:br/>
        <w:t xml:space="preserve">106. In this case, the market position of the new entity is only marginally higher than that of Alsa before the operation in the potential market for the manufacturing and marketing to large retail chains of flavored sugars and yeasts, so that no specific conglomerate effect can be identified from this market to a related market. Indeed, the capacity and incentives of the new entity to exert such leverage are substantially similar to those of Alsa before the operation.  </w:t>
        <w:br/>
        <w:t xml:space="preserve">107. On the other hand, the operation grants the new entity a strong position in the market for the manufacturing and marketing to large retail chains of ready-to-prepare desserts. The new entity will have market shares significantly exceeding 30% in this market regardless of whether private label brands are included or not. Thus, the new entity could theoretically leverage its position in the market for the manufacturing and marketing of ready-to-prepare desserts to strengthen its position in the market for the manufacturing and marketing of dessert aids to large retail chains, in the potential market for the manufacturing and marketing of sugars and yeasts to large retail chains, or in the potential market for the manufacturing and marketing of gelling agents and gelling sugars to large retail chains.  </w:t>
        <w:br/>
        <w:t xml:space="preserve">108. However, the ability of the new entity to exert leverage in a potential market for sugars and yeasts is uncertain due to the presence of McCormick, a very significant operator in the market for baking aids ([40-50]% in a global market for baking aids including private label brands and store brands, [50-60]% in this same market limited to products marketed under private label brands) and capable of replicating a conglomerate strategy across its various activities within baking aids. McCormick's ability to counter a potential conglomerate strategy of the new entity is all the more likely given that the market for dessert aids, in which McCormick is strong, is growing while the market for ready-to-prepare desserts is declining.  </w:t>
        <w:br/>
        <w:t xml:space="preserve">109. Similarly, the ability of the new entity to implement a bundling strategy between sales in the markets for the manufacturing and marketing of ready-to-prepare desserts to large retail chains and of gelling agents and gelling sugars is rendered less credible by the presence, in this market, of powerful, well-known, and conglomerate-sized players, such as Saint-Louis or Téréos Beghin Say, capable of countering such a strategy.  </w:t>
        <w:br/>
        <w:t>110. Furthermore, assuming that the new entity has the capacity and incentive to implement it, a strategy of the new entity to bundle sales of ready-to-prepare desserts and products</w:t>
      </w:r>
    </w:p>
    <w:p>
      <w:r>
        <w:rPr>
          <w:b/>
        </w:rPr>
        <w:t>[Pages 16–18]</w:t>
      </w:r>
    </w:p>
    <w:p>
      <w:r>
        <w:t xml:space="preserve">a baking aid would be unlikely to significantly hinder competition in the overall baking aid market. In this latter market, in fact, the notifying party is only active through its production of sugars and yeasts18 and has only a small market share (at most [10-20] %, see above, paragraph 67). However, the guidelines of the European Commission indicate that "it is only when a sufficient part of the market's production is affected by the lock-in resulting from the concentration operation that it can significantly hinder effective competition"19.  </w:t>
        <w:br/>
        <w:t xml:space="preserve">111. In light of the above, the operation is not likely to harm competition through conglomerate effects.  </w:t>
        <w:br/>
        <w:t>112. In any case, the commitments submitted by the notifying party on December 10, 2018, and last modified on January 23, 2019, are designed to remedy any conglomerate effect that would rely on the position of the new entity in the market for the manufacturing and marketing to large retail chains of ready-to-prepare desserts, as they neutralize the addition of market shares resulting from the operation in this market. Due to the commitments, the new entity will thus not be more able to exert any potential leverage based on its position in the market for the manufacturing and marketing to large retail chains of ready-to-prepare desserts than the parties before the operation.</w:t>
      </w:r>
    </w:p>
    <w:p>
      <w:r>
        <w:t xml:space="preserve">IV. The Commitments  </w:t>
        <w:br/>
        <w:t xml:space="preserve">113. In order to address concerns regarding the effects of the operation on competition related to the position of the new entity in the ready-to-prepare dessert market, the notifying party submitted, on December 10, 2018, a proposal for commitments. This proposal was last modified on January 23, 2019, to take into account, in particular, the results of the market test. The letter of commitments and its annex, attached to this decision, are an integral part of the decision.  </w:t>
        <w:br/>
        <w:t xml:space="preserve">114. The guidelines of the Authority regarding the control of concentrations provide that the identification of a buyer for the acquisition of divested assets as part of a structural commitment can occur before the Authority adopts its decision (the so-called "fix-it-first" solution). Depending on the progress of this divestiture, it may either be part of the notified elements, any reversal then calling into question the sincerity of the notification itself, or be explicitly subject to commitments as is the case here.  </w:t>
        <w:br/>
        <w:t xml:space="preserve">115. Dr. Oetker and Sainte Lucie signed on January 15, 201920 a memorandum of understanding under which Sainte Lucie will enter into a trademark licensing agreement with Dr. Oetker concerning the Ancel ready-to-prepare desserts and a subcontracting agreement for the supply of ready-to-prepare desserts by Dr. Oetker to Sainte Lucie (the "Memorandum of Understanding").  </w:t>
        <w:br/>
        <w:t xml:space="preserve">18 The parties to the operation only marginally produce a few references of baking aids other than sugars and yeasts.  </w:t>
        <w:br/>
        <w:t xml:space="preserve">19 Guidelines on the assessment of non-horizontal concentrations of the European Commission, paragraph 113.  </w:t>
        <w:br/>
        <w:t>20 Attached to the letter of commitments dated January 23, 2019.</w:t>
      </w:r>
    </w:p>
    <w:p>
      <w:r>
        <w:t xml:space="preserve">A. THE PROPOSED COMMITMENTS  </w:t>
        <w:br/>
        <w:t xml:space="preserve">116. The proposed commitments by the notifying party consist of entering into a trademark licensing agreement concerning the Ancel ready-to-prepare desserts, for a duration of five years, renewable once under the same conditions. The licensing agreement covers the Ancel ready-to-prepare desserts, understood as those currently manufactured and sold on the French market for ready-to-prepare desserts intended for large retail chains by Dr. Oetker21, and those that the licensee may develop in the future on this market under the Ancel brand. It also covers the packaging and recipes of the Ancel ready-to-prepare desserts.  </w:t>
        <w:br/>
        <w:t xml:space="preserve">117. Dr. Oetker proposed the Sainte Lucie group as the licensee in its letter of commitments last modified on January 23, 2019, and in the Memorandum of Understanding. The latter commits to ensuring that the trademark licensing agreement is signed, in accordance with the main terms set by the parties in the Memorandum of Understanding, before the date of completion of the operation and no later than February 15, 2019, if the date of completion of the operation is after this date.  </w:t>
        <w:br/>
        <w:t xml:space="preserve">118. The company Luciol is a simplified joint-stock company, head of the Sainte Lucie group (hereinafter "Sainte Lucie"), active in the manufacturing and marketing of baking aids, primarily under the MDF brand, to large retail chains.  </w:t>
        <w:br/>
        <w:t xml:space="preserve">119. The notifying party emphasizes that Sainte Lucie has become a significant competitor of McCormick in the baking aid market, notably with the development of new product ranges under its own brand "Sainte Lucie," including an organic product range. The Sainte Lucie group, however, is not present in the ready-to-prepare dessert market.  </w:t>
        <w:br/>
        <w:t xml:space="preserve">120. According to the notifying party, Sainte Lucie is "therefore a player that has already demonstrated, in a neighboring segment, its ability to effectively stimulate competition."  </w:t>
        <w:br/>
        <w:t xml:space="preserve">121. Under the commitments related to the trademark license, the notifying party committed (i) to make its best efforts to avoid any risk of loss of competitiveness of the Ancel ready-to-prepare desserts in the French market for ready-to-prepare desserts intended for large retail chains between the date of the decision and the entry into force of the licensing agreement, that is, May 1, 2019, and (ii) to conclude a subcontracting agreement with the licensee to enable it to immediately support competition in the market for ready-to-prepare desserts intended for large retail chains, a contract under which Dr. Oetker will supply the licensee with ready-to-prepare desserts without volume limitation,[Confidential] and for a duration of three years. Just like for the trademark licensing agreement, the notifying party commits to ensuring that the subcontracting agreement is signed, in accordance with the main terms set by the parties in the Memorandum of Understanding, before the date of completion of the operation and no later than February 15, 2019, if the date of completion of the operation is after this date.  </w:t>
        <w:br/>
        <w:t xml:space="preserve">122. An independent agent will be responsible for monitoring the commitments.  </w:t>
        <w:br/>
        <w:t xml:space="preserve">21 A few marginal exclusions are provided, representing less than 5% of Dr. Oetker's turnover in the market for the manufacturing and marketing of ready-to-prepare desserts to large retail chains.  </w:t>
        <w:br/>
        <w:t>22 [Confidential]</w:t>
      </w:r>
    </w:p>
    <w:p>
      <w:r>
        <w:t xml:space="preserve">B. ASSESSMENT OF THE PROPOSED COMMITMENTS  </w:t>
        <w:br/>
        <w:t xml:space="preserve">1. APPLICABLE PRINCIPLES  </w:t>
        <w:br/>
        <w:t xml:space="preserve">123. Measures intended to remedy the competition harm resulting from the notified operation must comply with the general criteria defined by decision-making practice and case law in order to be deemed capable of ensuring sufficient competition, in accordance with the provisions of Article L. 430-7 of the Commercial Code.  </w:t>
        <w:br/>
        <w:t xml:space="preserve">124. As specified in the guidelines of the Authority regarding the control of concentrations, these measures must be effective in fully remedying the identified competition harms. To this end, their implementation must not raise any doubts, which implies that they must be drafted in a sufficiently clear and precise manner and that the operational modalities for their realization must be sufficiently detailed. Their implementation must also be rapid, as competition is not preserved as long as they are not realized. They must also be controllable22. Finally, the Authority must ensure that the corrective measures are neutral, in the sense that they must aim to protect competition as such and not specific competitors, and proportionate, in that they must be necessary to maintain or restore sufficient competition23.  </w:t>
        <w:br/>
        <w:t xml:space="preserve">125. In order to remedy the competition harms resulting from a concentration operation, the Authority generally seeks structural measures as a priority, which aim to ensure competitive market structures through divestitures of activities or certain assets to an appropriate buyer capable of exerting real competition, or the elimination of capital links between competitors.  </w:t>
        <w:br/>
        <w:t xml:space="preserve">2. THE TRADEMARK LICENSING AGREEMENT  </w:t>
        <w:br/>
        <w:t xml:space="preserve">126. The notified operation is analyzed as a horizontal concentration between the two main brands of ready-to-prepare desserts. In such a context, a remedy with structural effects must be favored.  </w:t>
        <w:br/>
        <w:t xml:space="preserve">127. In response to the competitive effects identified during the investigation, the notifying party proposed a trademark license concerning the Ancel ready-to-prepare desserts marketed to large retail chains in the French market. This license is concluded "for a duration of five years, with the option of renewal, under the same conditions, at the request of the Licensee."  </w:t>
        <w:br/>
        <w:t xml:space="preserve">128. Dr. Oetker has also committed not to sell ready-to-prepare desserts on the French market under the Ancel or Dr. Oetker brands, and in particular not to market new ready-to-prepare desserts under the Dr. Oetker brand during the term of the licensing agreement. Furthermore, to avoid any brand confusion, the notifying party has committed not to affix the Ancel brand on the baking aid products that the new entity will market.  </w:t>
        <w:br/>
        <w:t>129. The Memorandum of Understanding attached to the letter of commitments also provides that the licensee will also have the option "at its sole discretion [to] affix both the Ancel Brand and its own brand (co-branding) on the [ready-to-prepare desserts]."</w:t>
      </w:r>
    </w:p>
    <w:p>
      <w:r>
        <w:rPr>
          <w:b/>
        </w:rPr>
        <w:t>[Pages 19–21]</w:t>
      </w:r>
    </w:p>
    <w:p>
      <w:r>
        <w:t>130. The duration of the license of five years, renewable once at the initiative of the licensee and under the same conditions, appears sufficient to allow the licensee to develop its brand in the market for ready-to-prepare desserts. To this end, it may particularly rely on co-branding24 to gradually ensure a transfer of brand awareness from the Ancel brand to its own brand25 and thus sustain competitive dynamics in the market for ready-to-prepare desserts beyond the duration of the brand license agreement.</w:t>
      </w:r>
    </w:p>
    <w:p>
      <w:r>
        <w:t>131. These elements are likely to address the concerns of certain respondents to the market test regarding the difficulty of transferring brand awareness from the Ancel brand.</w:t>
      </w:r>
    </w:p>
    <w:p>
      <w:r>
        <w:t>132. They also respond to the objection raised by one respondent that only a brand transfer would allow the licensee to maintain its position in a declining market against powerful brands. In this regard, the Authority considers that the brand license provided in this case is sufficient to maintain competition, within the meaning of paragraph 574 of the guidelines, in the market for ready-to-prepare desserts. Thus, resorting to more restrictive measures, such as a brand transfer, would raise a question of proportionality. Such a transfer would also pose significant implementation difficulties, as the Ancel brand is also used to market products belonging to other markets, such as snack biscuits, on which the operation is not likely to harm competition.</w:t>
      </w:r>
    </w:p>
    <w:p>
      <w:r>
        <w:t>133. The brand license commitment prevents the strengthening of the parties' position in the market for the manufacturing and marketing of ready-to-prepare desserts to large retail chains by almost entirely eliminating the addition of market shares resulting from the operation26.</w:t>
      </w:r>
    </w:p>
    <w:p>
      <w:r>
        <w:t>134. This commitment is likely to dispel any doubts about harm to competition through horizontal effects in the market for the manufacturing and marketing of ready-to-prepare desserts to large retail chains and any potential conglomerate effects relying on the position of the new entity in that same market.</w:t>
      </w:r>
    </w:p>
    <w:p>
      <w:r>
        <w:t>135. The assessment of the effectiveness of the brand license commitment also requires analyzing the appropriateness of the choice of licensee, particularly in light of the accompanying measures provided for in the letter of commitments and the Protocol of Agreement annexed thereto.</w:t>
      </w:r>
    </w:p>
    <w:p>
      <w:r>
        <w:t>3. THE CHOICE OF LICENSEE AND ASSOCIATED ACCOMPANYING MEASURES</w:t>
      </w:r>
    </w:p>
    <w:p>
      <w:r>
        <w:t>136. Sainte Lucie is an independent group, legally and commercially, from the notifying party, active in the manufacturing and marketing of baking aids under MDF to large retail chains but which is not currently active in the market for ready-to-prepare desserts, ensuring that the proposed remedy does not generate any competition issues. Indeed, the commitment will not generate any addition of market shares in the manufacturing and marketing of ready-to-prepare desserts to large retail chains for the benefit of Sainte Lucie, as it is not currently active in this market. Furthermore, Sainte Lucie's market share in baking aids is below 10%, regardless of the segmentation considered.</w:t>
      </w:r>
    </w:p>
    <w:p>
      <w:r>
        <w:t>25 The incentive to carry out a transfer of brand awareness is reinforced by the fact that the Protocol of Agreement provides for a lower royalty for so-called "co-branded" products on which the Ancel brand is associated with a brand or designation of the licensee.</w:t>
      </w:r>
    </w:p>
    <w:p>
      <w:r>
        <w:t>26 This transfer will also be facilitated by the "black-out" phase of […] during which Dr. Oetker has committed not to reintroduce the Ancel brand at the end of the license agreement.</w:t>
      </w:r>
    </w:p>
    <w:p>
      <w:r>
        <w:t>27 As stated above, only a few products representing limited revenue (less than 5% of Dr. Oetker's sales in 2017 in the market for the manufacturing and marketing of ready-to-prepare desserts to large retail chains) are excluded from the scope of the license agreement. However, to avoid any confusion, the notifying party will remove the Ancel brand logo from these excluded products.</w:t>
      </w:r>
    </w:p>
    <w:p>
      <w:r>
        <w:t>Sainte Lucie will therefore not be able to leverage its various activities due to the implementation of the commitments.</w:t>
      </w:r>
    </w:p>
    <w:p>
      <w:r>
        <w:t>137. In the market for baking aids, which is related to that of ready-to-prepare desserts, Sainte Lucie has experienced strong and steady growth over the past 10 years, focusing its development on MDF products, which generate a higher margin than products marketed under private labels. The group has significantly expanded its range, having over 150 references of baking aids, and has recently been able to invest in new production capacities. In 2018, its growth was significantly higher than that of the market. These elements illustrate Sainte Lucie's expertise in this sector and its ability to be a credible competitor and invigorate the market for the manufacturing and marketing of ready-to-prepare desserts to large retail chains.</w:t>
      </w:r>
    </w:p>
    <w:p>
      <w:r>
        <w:t>138. Furthermore, there is no risk that Sainte Lucie will use the brand license, limited to the intellectual property rights attached to the Ancel brand ready-to-prepare desserts, or the associated subcontracting agreement for any activity other than the manufacturing and marketing of ready-to-prepare desserts. From this perspective, Sainte Lucie, which signed the Protocol of Agreement on this basis, will have every incentive to develop in the market for the manufacturing and marketing of ready-to-prepare desserts to large retail chains.</w:t>
      </w:r>
    </w:p>
    <w:p>
      <w:r>
        <w:t>139. In addition, the available financial data shows that Sainte Lucie has the necessary financial resources to operate the brand license subject to the commitment viably. Sainte Lucie also unequivocally expressed its motivation on January 15, 2019, by signing the Protocol of Agreement.</w:t>
      </w:r>
    </w:p>
    <w:p>
      <w:r>
        <w:t>140. To ensure Sainte Lucie's ability to operate the Ancel brand from the effective date of the license, the brand license is accompanied by two related commitments.</w:t>
      </w:r>
    </w:p>
    <w:p>
      <w:r>
        <w:t>141. The first aims to ensure the economic viability of the assets pending the effective date of the brand license on May 1, 2019. This short timeframe ensures the rapid implementation of the remedies while allowing Sainte Lucie to organize itself to effectively operate the brand license on the effective date (particularly through the recruitment and training of an additional sales force).</w:t>
      </w:r>
    </w:p>
    <w:p>
      <w:r>
        <w:t>142. The second consists of entering into a subcontracting agreement allowing Sainte Lucie to source Ancel ready-to-prepare desserts during a transitional period of three years. This measure aims to prevent any supply disruption that would be detrimental to the Ancel brand in the market for the manufacturing and marketing of ready-to-prepare desserts and, beyond that, to enable the licensee to stimulate competition before having its own production capacities. The absence of volume limitation and cost-plus pricing serve the same objective and will particularly allow Sainte Lucie not to be constrained in its development in the market for ready-to-prepare desserts.</w:t>
      </w:r>
    </w:p>
    <w:p>
      <w:r>
        <w:t>143. Some respondents to the market test expressed concerns regarding the risks of information transfers related to the existence of a subcontracting agreement between the new entity and the licensee, particularly allowing Dr. Oetker to know its competitor's product innovations (recipes in particular). However, this risk can be excluded for several reasons. First, contractual guarantees for the preservation of confidentiality and non-use of recipes by the notifying party are provided for in the Protocol of Agreement. Second, Sainte Lucie indicated during the investigation that it could resort to alternative solutions for production, particularly for its new recipes, to avoid revealing its recipe innovations to a direct competitor27. In the short term, it may turn to other subcontractors than the notifying party. It may also, as mentioned in the Protocol of Agreement28, "at its sole discretion, supply Dr. Oetker with Premix [pre-mixed products for which only packaging remains to be done] to preserve the confidentiality of its recipes." In the longer term, Sainte Lucie may prioritize the manufacturing of its innovations through the production capacities it plans to develop.</w:t>
      </w:r>
    </w:p>
    <w:p>
      <w:r>
        <w:t>144. These elements ensure that Sainte Lucie will have, although it is not currently active in the market for the manufacturing and marketing of ready-to-prepare desserts to large retail chains, the capacity to develop in this market.</w:t>
      </w:r>
    </w:p>
    <w:p>
      <w:r>
        <w:t>145. In light of all the above, the Authority considers that Sainte Lucie presents all the guarantees justifying its approval as a licensee of the Ancel brand in the market for the manufacturing and marketing of ready-to-prepare desserts to large retail chains, and that, more generally, the commitments made by the notifying party within the framework of a fix-it-first meet the criteria set out in paragraph 573 of the guidelines.</w:t>
      </w:r>
    </w:p>
    <w:p>
      <w:r>
        <w:t>146. Indeed, the commitments made allow for the maintenance of sufficient competition in the market for the manufacturing and marketing of ready-to-prepare desserts to large retail chains. Their implementation raises no doubts as the main terms of the license and subcontracting agreements have already been established by the Protocol of Agreement concluded between Dr. Oetker and Sainte Lucie, and the notifying party has committed to ensuring that these contracts are signed before the completion date of the operation, so that by that date, all legally binding agreements necessary for the commitments will have been signed. Finally, a monitoring mechanism for the commitments is provided with the appointment of a representative in charge of oversight, whose mission will be to ensure compliance with the obligations resulting from this decision. It must in particular ensure the preservation of the economic viability of the Ancel brand and monitor the conditions for the execution of the subcontracting agreement.</w:t>
      </w:r>
    </w:p>
    <w:p>
      <w:r>
        <w:t>28 The Protocol of Agreement provides in this regard that "Sainte Lucie will remain free to manufacture the [p]roducts itself or have them manufactured by a third party."</w:t>
      </w:r>
    </w:p>
    <w:p>
      <w:r>
        <w:t>29 Page 10 of the Protocol of Agreement.</w:t>
      </w:r>
    </w:p>
    <w:p>
      <w:r>
        <w:rPr>
          <w:b/>
        </w:rPr>
        <w:t>[Pages 22–22]</w:t>
      </w:r>
    </w:p>
    <w:p>
      <w:r>
        <w:t xml:space="preserve">DECIDES  </w:t>
        <w:br/>
        <w:t xml:space="preserve">Sole Article: The operation notified under number 18-084 is authorized subject to the commitments described in paragraphs 113 to 146 above and attached to this decision.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