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https://www.autoritedelaconcurrence.fr/fr/decision-de-controle-des-concentrations/relative-la-prise-de-controle-exclusif-de-la-societe-alstef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24-DCC-138 of July 1, 2024</w:t>
        <w:br/>
        <w:t>regarding the exclusive control acquisition of Alstef Group by</w:t>
        <w:br/>
        <w:t>Ardian France</w:t>
        <w:br/>
        <w:t>The Competition Authority,</w:t>
        <w:br/>
        <w:t>Having regard to the complete notification file submitted to the mergers department on June 14, 2024,</w:t>
        <w:br/>
        <w:t>concerning the exclusive control acquisition of Alstef Group by Ardian France formalized by a unilateral purchase promise dated May 10, 2024;</w:t>
        <w:br/>
        <w:t>Having regard to Book IV of the Commercial Code relating to the freedom of prices and competition, and in particular its Articles L. 430-1 to L. 430-7;</w:t>
        <w:br/>
        <w:t>Having regard to the additional elements provided by the notifying party during the investigation;</w:t>
        <w:br/>
        <w:t>Adopts the following decision:</w:t>
        <w:br/>
        <w:t>1. The notified operation consists of the exclusive control acquisition by Ardian France of the</w:t>
        <w:br/>
        <w:t>company Alstef Group, active in the sector of turnkey automated handling solutions. It constitutes a concentration operation within the meaning of Article L. 430-1 of the Commercial Code. Given the turnover achieved by the concerned companies,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24-131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