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https://www.autoritedelaconcurrence.fr/fr/decision-de-controle-des-concentrations/relative-la-prise-de-controle-exclusif-de-la-societe-altair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16-DCC-49 of April 6, 2016  </w:t>
        <w:br/>
        <w:t xml:space="preserve">regarding the exclusive control acquisition of the company Altaïr by the company  </w:t>
        <w:br/>
        <w:t xml:space="preserve">Motion Equity Partners  </w:t>
        <w:br/>
        <w:t xml:space="preserve">The Competition Authority,  </w:t>
        <w:br/>
        <w:t xml:space="preserve">Having regard to the complete notification file sent to the mergers department on March 11, 2016  </w:t>
        <w:br/>
        <w:t xml:space="preserve">concerning the exclusive control acquisition of the company Altaïr by the company Motion Equity Partners  </w:t>
        <w:br/>
        <w:t xml:space="preserve">materialized by a share transfer agreement dated March 8,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Altaïr, active in the  </w:t>
        <w:br/>
        <w:t xml:space="preserve">markets for household maintenance, repair and renovation products and household insecticides, by the private equity company Motion Equity Partners.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 </w:t>
        <w:br/>
        <w:t xml:space="preserve">fall under the jurisdiction of the European Union. On the other hand, the control thresholds  </w:t>
        <w:br/>
        <w:t xml:space="preserve">related to retail trade mentioned in point 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16-042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