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https://www.autoritedelaconcurrence.fr/fr/decision-de-controle-des-concentrations/relative-la-prise-de-controle-exclusif-de-la-societe-altead</w:t>
      </w:r>
    </w:p>
    <w:p>
      <w:r>
        <w:t>Pages translated : 10</w:t>
      </w:r>
    </w:p>
    <w:p/>
    <w:p>
      <w:r>
        <w:rPr>
          <w:b/>
        </w:rPr>
        <w:t>[Pages 1–3]</w:t>
      </w:r>
    </w:p>
    <w:p>
      <w:r>
        <w:t>FRENCH REPUBLIC</w:t>
        <w:br/>
        <w:t>Decision No. 19-DCC-235 of December 4, 2019</w:t>
        <w:br/>
        <w:t>regarding the exclusive control of the company</w:t>
        <w:br/>
        <w:t>AltéAd Marchal Levage, the assets of the transport branch of the AltéAd group, and the company Infinitrans by the company</w:t>
        <w:br/>
        <w:t>Capelle Investissements</w:t>
        <w:br/>
        <w:t>The Competition Authority,</w:t>
        <w:br/>
        <w:t>Having regard to the notification file sent to the merger control service on June 25, 2019, and declared complete on October 28, 2019, regarding the exclusive control of the companies Infinitrans and AltéAd Marchal Levage, and the assets of 4 companies of the AltéAd group by the company Capelle Investissements, formalized by the takeover offers dated June 21, 2019, and the judgments of the Paris Commercial Court dated July 25, 2019;</w:t>
        <w:br/>
        <w:t>Having regard to Book IV of the Commercial Code relating to price freedom and competition, and in particular its Articles L. 430-1 to L. 430-7;</w:t>
        <w:br/>
        <w:t>Having regard to the supplementary elements transmitted by the notifying party during the investigation;</w:t>
        <w:br/>
        <w:t>Adopts the following decision:</w:t>
      </w:r>
    </w:p>
    <w:p>
      <w:r>
        <w:t>Summary1</w:t>
        <w:br/>
        <w:t>On June 25, 2019, Capelle Investissements notified the Competition Authority of the acquisition of AltéAd Marchal Levage, the transport branch assets of the AltéAd group, and the company Infinitrans. Both parties are primarily active in the freight transport sector.</w:t>
      </w:r>
    </w:p>
    <w:p>
      <w:r>
        <w:t>This transaction is part of a judicial reorganization procedure, opened by the Paris Commercial Court, for the benefit of the 38 companies of the AltéAd group and was granted a derogation from the suspensive effect of merger control on July 11, 2019. As part of the same procedure, Mediaco Levage notified the Competition Authority of the acquisition of AltéAd and the assets of 12 companies of the AltéAd group, and the companies Mediaco Levage and Capelle Investissements notified the Competition Authority of the joint acquisition of the assets of the companies Financière de Corton, AltéAd Management, and AltéAd Industries Est. These two other transactions are subject to separate decisions.</w:t>
      </w:r>
    </w:p>
    <w:p>
      <w:r>
        <w:t xml:space="preserve">On the occasion of this transaction, the Competition Authority delineated new markets: the market for exceptional road transport of goods, and that of specialized road transport of goods. The Competition Authority analyzed the effects of the transaction on the structure of these markets, as well as on those of logistics and engineering, and conducted a thorough examination of the risks of a significant reduction in competition. At the end of its analysis, the Authority authorized this transaction without subjecting it to any specific conditions. </w:t>
        <w:br/>
        <w:t>1 This summary is strictly informative. Only the reasons for the decision numbered below are authoritative.</w:t>
      </w:r>
    </w:p>
    <w:p>
      <w:r>
        <w:t>I. The Companies Involved and the Transaction</w:t>
        <w:br/>
        <w:t>1. Capelle Investissements SA is the holding company controlling the Capelle group. The group is present in France, Spain, Belgium, Luxembourg, the Netherlands, Germany, and the United Kingdom. Its activities concern specialized and exceptional transport, handling, and logistics.</w:t>
        <w:br/>
        <w:t>2. AltéAd Marchal Levage SAS is a company in the industrial branch of the AltéAd group offering electrical and mechanical engineering services to industrial clients.</w:t>
        <w:br/>
        <w:t>3. The transport branch of the AltéAd group consists of a holding company, Financière AltéAd Transport, which wholly owns the companies AltéAd Augizeau SAS, AltéAd Location SARL, AltéAd Transports Spécialisés, and holds 60% of the company Infinitrans SAS.</w:t>
        <w:br/>
        <w:t>4. The 6 companies mentioned in paragraphs 2 and 3 together constitute the targets of the transaction.</w:t>
        <w:br/>
        <w:t>5. The transaction is part of a judicial reorganization procedure, opened by the Paris Commercial Court on May 27, 2019, for the benefit of the 38 companies of the AltéAd group. By letter dated July 11, 2019, the Competition Authority granted a derogation from the suspensive effect of merger control to the Capelle group, in application of Article L. 430-4 of the Commercial Code. By judgments dated July 26, 2019, the Paris Commercial Court approved the transfer plan for the companies Infinitrans SAS and AltéAd Marchal Levage SAS, and the assets of 4 companies of the AltéAd group, the targets, in favor of the Capelle group.</w:t>
        <w:br/>
        <w:t>6. Insofar as it results in the exclusive control of the companies Infinitrans SAS and AltéAd Marchal Levage SAS, the targets, and the assets of 4 companies of the AltéAd group by the Capelle group, the transaction constitutes a concentration within the meaning of Article L. 430-1 of the Commercial Code.</w:t>
        <w:br/>
        <w:t>7. The companies involved together generate a total worldwide turnover excluding taxes of more than 150 million euros (Capelle group: [≥ 150] euros for the fiscal year ending December 31, 2018; targets: [≤ 150] euros for the fiscal year ending December 31, 2018). Each of these companies has generated a turnover in France exceeding 50 million euros (Capelle group: [≥ 50] euros for the fiscal year ending December 31, 2018; targets: [≥ 50] euros for the fiscal year ending December 31, 2018). Given these turnover figures, the transaction does not fall under the jurisdiction of the European Union. However, the control thresholds mentioned in I of Article L. 430-2 of the Commercial Code are exceeded. This transaction is therefore subject to the provisions of Articles L. 430-3 and following of the Commercial Code relating to economic concentrations.</w:t>
      </w:r>
    </w:p>
    <w:p>
      <w:r>
        <w:rPr>
          <w:b/>
        </w:rPr>
        <w:t>[Pages 4–6]</w:t>
      </w:r>
    </w:p>
    <w:p>
      <w:r>
        <w:t>II. Delimitation of Relevant Markets</w:t>
        <w:br/>
        <w:t>8. The parties are simultaneously active in the markets (A) of road freight transport and (B) engineering services. Additionally, the Capelle group is active in the market (C) of logistics.</w:t>
      </w:r>
    </w:p>
    <w:p>
      <w:r>
        <w:t>A. ROAD FREIGHT TRANSPORT MARKETS</w:t>
        <w:br/>
        <w:t>9. Decision-making practice has distinguished the market for organizing freight transport on behalf of clients according to their needs ("freight forwarding") from that of the actual transport of goods. In the first market, operators offer bundled service packages that may include, in addition to the transport itself, services such as customs clearance or warehousing. In the second market, services are limited to the physical movement of goods and the services necessary for them.</w:t>
        <w:br/>
        <w:t>10. Decision-making practice considers that the different modes of freight transport are generally not substitutable for one another. Indeed, the choice of a mode of transport is constrained by certain factors, such as the geographical location of the client or the nature of the goods transported. Furthermore, each mode of transport has specific characteristics related, in particular, to cost structures and transport duration. Thus, competition authorities distinguish between air transport, maritime transport, and land transport of goods, which is further sub-segmented according to the mode of transport: rail, road, waterway, and pipeline.</w:t>
        <w:br/>
        <w:t>11. Regarding road freight transport, several segmentations have been considered based on (i) the domestic or cross-border nature of the transport, (ii) the type of products transported (the markets for the transport of hazardous materials and temperature-controlled goods have been considered as specific markets), (iii) the type of offers proposed (dedicated transport, full truckload transport, groupage transport, and courier transport), and (iv) the mode of packaging (transport of packaged goods, transport of bulk goods).</w:t>
        <w:br/>
        <w:t>12. In this case, the parties are simultaneously active in road freight transport, through so-called "exceptional" or "specialized" transport, types of services that have not been previously analyzed by decision-making practice. The notifying party distinguishes these two types of transport, and the competitors and clients interviewed during market tests confirm such a distinction.</w:t>
        <w:br/>
        <w:t>a) Delimitation of Relevant Service Markets</w:t>
        <w:br/>
        <w:t>i. Exceptional Road Transport of Goods</w:t>
        <w:br/>
        <w:t>13. The notifying party indicates that exceptional transport of goods meets the specific legal definition of Article R. 433-1 of the Road Code, which states that exceptional transport concerns the circulation of "goods, equipment, or vehicles that are exceptional due to their dimensions or weight exceeding regulatory limits." The vehicles to which these provisions apply are, for example, vehicles transporting indivisible loads or public works. The regulation provides that for the vehicle referred to in Article R. 433-1 to be authorized to circulate on the road, prior authorization must be granted by the prefect of the department of departure, or for some of them, by derogation, a simple prior declaration, under penalty of a fine (fourth or fifth class contravention).</w:t>
        <w:br/>
        <w:t>14. Competitors interviewed during a market test noted that the specific regulation and the necessary authorizations to operate exceptional transport vehicles made this mode of transport a distinct market. They also noted that this mode of road freight transport requires particular capital investments (for the purchase of vehicles) and labor (qualified labor to drive the vehicles, administrative management of authorization requests to the prefecture).</w:t>
        <w:br/>
        <w:t>15. Clients using the services of the parties transport goods such as wind turbines, boats, mobile homes, trains, or industrial machinery. Due to the size, weight, or unusual volume of these goods, clients have little choice of transport mode (waterway, rail, or road). By choosing road transport, there is only one mode left, the exceptional road transport of goods.</w:t>
        <w:br/>
        <w:t>16. Due to specific regulatory constraints, the need for qualified labor, and the costs incurred, exceptional road transport is not to be confused with other modes of road freight transport.</w:t>
        <w:br/>
        <w:t>17. The competitive analysis will therefore focus on exceptional road transport of goods.</w:t>
        <w:br/>
        <w:t>ii. Specialized Road Transport of Goods</w:t>
        <w:br/>
        <w:t>18. The notifying party indicates that specialized transport is the means used to transport atypical goods and products requiring the use of specialized tools. According to the notifying party, clients use this transport solution to move objects that, due to their size or fragility, require a particular service, such as radio bays, computer equipment, automata, or industrial furniture. Companies offering this type of service are operators equipped with specific equipment adapted to the particularities of the transported products.</w:t>
        <w:br/>
        <w:t>19. This mode of transport is not to be confused with exceptional transport, as it does not specifically concern objects of exceptional mass or volume, nor with the modes of transport previously delineated by decision-making practice, due to the necessity of specialized tooling.</w:t>
        <w:br/>
        <w:t>20. Competitors and clients interviewed during market tests confirm the specific delimitation of specialized road transport of goods.</w:t>
        <w:br/>
        <w:t>21. The competitive analysis will therefore focus on specialized road transport of goods.</w:t>
        <w:br/>
        <w:t>b) Geographical Market</w:t>
        <w:br/>
        <w:t>22. The notifying party estimates that the markets for exceptional road transport and specialized road transport are of national dimension, with a trend towards Europeanization.</w:t>
        <w:br/>
        <w:t>23. Competitors and clients interviewed during market tests confirm this geographical delimitation. Some clients indeed call upon European operators for exceptional and specialized road transport.</w:t>
        <w:br/>
        <w:t>24. For the purposes of this case, the analysis will be conducted at the national level.</w:t>
        <w:br/>
        <w:t>B. MARKETS FOR ENGINEERING SERVICES</w:t>
        <w:br/>
        <w:t>a) Service Markets</w:t>
        <w:br/>
        <w:t>25. Regarding engineering services, national and European decision-making practice has retained a segmentation between the market for electrical engineering services and the markets for mechanical engineering and climate engineering services.</w:t>
        <w:br/>
        <w:t>26. Within electrical engineering, decision-making practice has considered the existence of three distinct segments related to (i) telecommunications, (ii) electrical substations, and (iii) high voltage lines.</w:t>
        <w:br/>
        <w:t>27. Competition authorities have also considered that the electrical engineering market could be segmented based on the type of work, distinguishing between the</w:t>
      </w:r>
    </w:p>
    <w:p>
      <w:r>
        <w:rPr>
          <w:b/>
        </w:rPr>
        <w:t>[Pages 7–9]</w:t>
      </w:r>
    </w:p>
    <w:p>
      <w:r>
        <w:t xml:space="preserve">installation and multi-technical maintenance work and climate engineering work.  </w:t>
        <w:br/>
        <w:t xml:space="preserve">14 See in particular the aforementioned decision M.5701, the decision of the Competition Authority No. 13-DCC-29 of March 5, 2013, concerning the exclusive control of Gobé SAS by Scopelec.  </w:t>
        <w:br/>
        <w:t>6</w:t>
      </w:r>
    </w:p>
    <w:p>
      <w:r>
        <w:t xml:space="preserve">maintenance work and installation work15. Installation work includes the following services: design, initial installation of equipment, maintenance, repair, and modernization of infrastructure. Maintenance corresponds to the organization of periodic inspection visits.  </w:t>
        <w:br/>
        <w:t xml:space="preserve">28. Furthermore, decision-making practice16 has recognized the existence of segmentation based on the type of clientele, distinguishing between residential and non-residential clientele. Within the electrical engineering segment for non-residential clientele, it has considered a sub-segmentation between (i) infrastructure, (ii) industry, and (iii) tertiary.  </w:t>
        <w:br/>
        <w:t xml:space="preserve">29. Finally, competition authorities have considered a segmentation of the markets for the installation and maintenance of telecommunications networks by distinguishing between work concerning the installation and maintenance of radio electronic communication equipment, on the one hand, and the installation and maintenance of electronic communication equipment, on the other hand17.  </w:t>
        <w:br/>
        <w:t xml:space="preserve">30. In this case, the parties simultaneously offer electrical and mechanical engineering services to industrial clients.  </w:t>
        <w:br/>
        <w:t xml:space="preserve">31. In any event, the question of the exact delimitation of these markets can be left open, as, regardless of the segmentation chosen, the conclusions of the competitive analysis remain unchanged.  </w:t>
        <w:br/>
        <w:t xml:space="preserve">b) Geographic Markets  </w:t>
        <w:br/>
        <w:t xml:space="preserve">32. European decision-making practice considers that the markets for electrical engineering are likely to be national in scope, due to similar competitive conditions in these markets across the entire French territory18. However, it has also conducted a competitive analysis of these markets at the regional level and has left the question of their exact geographic delimitation open. Similarly, national decision-making practice19 has considered that these markets could have a national or regional dimension.  </w:t>
        <w:br/>
        <w:t xml:space="preserve">33. In any event, the question of the exact geographic delimitation of these markets can be left open, as, regardless of the delimitation chosen, the conclusions of the competitive analysis remain unchanged.  </w:t>
        <w:br/>
        <w:t xml:space="preserve">15 Id.  </w:t>
        <w:br/>
        <w:t xml:space="preserve">16 See in particular letter C 2008-117 and the aforementioned decisions M.5701 and M.6623.  </w:t>
        <w:br/>
        <w:t xml:space="preserve">17 See in particular decision No. 17-DCC-127 mentioned above.  </w:t>
        <w:br/>
        <w:t xml:space="preserve">18 See in particular the aforementioned decisions M.5701 and M.6623.  </w:t>
        <w:br/>
        <w:t xml:space="preserve">19 See in particular letter C 2008-117 and the aforementioned decisions No. 13-DCC-29.  </w:t>
        <w:br/>
        <w:t>7</w:t>
      </w:r>
    </w:p>
    <w:p>
      <w:r>
        <w:t xml:space="preserve">C. LOGISTICS MARKETS  </w:t>
        <w:br/>
        <w:t xml:space="preserve">a) Service Markets  </w:t>
        <w:br/>
        <w:t xml:space="preserve">34. The decision-making practice of competition authorities20 has defined logistics services as involving the various links in a supply chain of goods between an origin point and a destination point, in order to optimally manage the flow and storage of said goods. This activity can be likened to a comprehensive offer, as it combines a set of services such as, in particular, storage, inventory management, order taking, and the transport of goods at a time and place defined by the client.  </w:t>
        <w:br/>
        <w:t xml:space="preserve">35. European and national competition authorities have considered the existence of distinct logistics markets for certain sectors of activity that, due to the characteristics of their production chains, may require specific logistics services21.  </w:t>
        <w:br/>
        <w:t xml:space="preserve">36. In this case, the Capelle group offers logistics and storage services to industrial clients.  </w:t>
        <w:br/>
        <w:t xml:space="preserve">37. The question of the exact delimitation of logistics markets can, however, be left open, as the conclusions of the competitive analysis remain unchanged regardless of the delimitation chosen.  </w:t>
        <w:br/>
        <w:t xml:space="preserve">b) Geographic Markets  </w:t>
        <w:br/>
        <w:t xml:space="preserve">38. According to national decision-making practice22, the markets for logistics services are of national dimension.  </w:t>
        <w:br/>
        <w:t xml:space="preserve">39. There is no need to revisit this delimitation during the present investigation.  </w:t>
        <w:br/>
        <w:t xml:space="preserve">III. Competitive Analysis  </w:t>
        <w:br/>
        <w:t xml:space="preserve">40. The analysis will successively focus on (A) the horizontal effects that may result from the operation, on the markets where the parties' activities overlap, and then on (B) the conglomerate effects, on the markets that have links of connectivity between them.  </w:t>
        <w:br/>
        <w:t xml:space="preserve">A. ANALYSIS OF HORIZONTAL EFFECTS  </w:t>
        <w:br/>
        <w:t xml:space="preserve">20 See in particular the decisions of the Authority No. 18-DCC-127 of July 30, 2018, concerning the exclusive control of Alpha Direct Services by Log’Hopp and No. 13-DCC-87 of July 11, 2013, concerning the exclusive control of the European Company for Logistics Services by ID Logistics Group SA.  </w:t>
        <w:br/>
        <w:t xml:space="preserve">21 See for example the decision of the Authority No. 11-DCC-79 of May 16, 2011, concerning the joint control of Transcosatal Finances by the companies Satar, Chabas, and STEF-TFE Transport, as well as decision M.3553 of the European Commission of October 4, 2004.  </w:t>
        <w:br/>
        <w:t xml:space="preserve">22 See for example the aforementioned decision No. 13-DCC-87.  </w:t>
        <w:br/>
        <w:t>8</w:t>
      </w:r>
    </w:p>
    <w:p>
      <w:r>
        <w:t xml:space="preserve">41. The parties' activities overlap in the markets (a) for exceptional road transport of goods, (b) for specialized road transport of goods, and (c) for engineering services.  </w:t>
        <w:br/>
        <w:t xml:space="preserve">a) On the market for exceptional road transport of goods  </w:t>
        <w:br/>
        <w:t xml:space="preserve">42. In the market for exceptional road transport of goods, the market share of the new entity will be [20-30]%, with an additional market share resulting from the operation of [5-10]%. Following the operation, the new entity will still face numerous operators of comparable or larger national size, such as Transports Richard, Transports Louis Philippe Navaux, Trans-Ajolans, or Transports Lucien Robinet.  </w:t>
        <w:br/>
        <w:t xml:space="preserve">43. It follows from the above that the operation is not likely to harm competition through horizontal effects in the market for exceptional road transport of goods.  </w:t>
        <w:br/>
        <w:t xml:space="preserve">b) On the market for specialized road transport of goods  </w:t>
        <w:br/>
        <w:t xml:space="preserve">44. In the market for specialized road transport of goods, the market share of the new entity will be [5-10]%, with an additional market share related to the operation of [0-5]%. Following the operation, the new entity will still face numerous operators of comparable or larger national size, such as Transports Louis Philippe Navaux, Bolloré, Perrenot, or Transports Straumann.  </w:t>
        <w:br/>
        <w:t xml:space="preserve">45. It follows from the above that the operation is not likely to harm competition through horizontal effects in the market for specialized road transport of goods.  </w:t>
        <w:br/>
        <w:t xml:space="preserve">c) On the markets for engineering services  </w:t>
        <w:br/>
        <w:t xml:space="preserve">46. In the markets for mechanical and electrical engineering services, the market share of the new entity will remain below 5%, regardless of the segmentation considered.  </w:t>
        <w:br/>
        <w:t xml:space="preserve">47. Thus, the operation is not likely to harm competition through horizontal effects in the markets for engineering services.  </w:t>
        <w:br/>
        <w:t xml:space="preserve">B. ANALYSIS OF CONGLOMERATE EFFECTS  </w:t>
        <w:br/>
        <w:t xml:space="preserve">48. The Authority considers that a concentration leads to "conglomerate effects when the new entity extends or strengthens its presence in several markets whose connectivity may allow it to exploit a leverage effect"23. This leverage effect is likely to produce restrictive effects on competition when the new entity is able to tie, technically or commercially, the sales or purchases of the products grouped by the concentration, thereby locking the market and driving out its competitors.  </w:t>
        <w:br/>
        <w:t xml:space="preserve">49. This leverage effect, necessary for the implementation of such strategies, is analyzed through the examination of three cumulative criteria: (i) the capacity of the new entity, which holds a power  </w:t>
        <w:br/>
        <w:t xml:space="preserve">23 Guidelines of the Competition Authority regarding merger control, § 476.  </w:t>
        <w:br/>
        <w:t>9</w:t>
      </w:r>
    </w:p>
    <w:p>
      <w:r>
        <w:rPr>
          <w:b/>
        </w:rPr>
        <w:t>[Pages 10–10]</w:t>
      </w:r>
    </w:p>
    <w:p>
      <w:r>
        <w:t>this market power to eliminate competitors in another market by tying the sales of products normally marketed separately in the various concerned markets (bundled sales or tied sales); (ii) the economic incentive of the new entity to implement such exclusionary practices, which requires the existence of a large number of customers likely to be interested in the simultaneous purchase of the products in question; and (iii) the existence of a significant negative effect of the locking strategy on the concerned markets, which implies that it would be impossible for competitors to offer as comprehensive a range of products.</w:t>
      </w:r>
    </w:p>
    <w:p>
      <w:r>
        <w:t>50. In this case, the transaction has the effect of expanding Capelle's capabilities in the markets of exceptional road transport and specialized road transport, by increasing the number of vehicles available in its fleet. Following the transaction, the new entity could require its clients to simultaneously purchase its logistics and engineering services.</w:t>
      </w:r>
    </w:p>
    <w:p>
      <w:r>
        <w:t>51. Following the transaction, the new entity will hold market shares of less than 30%, regardless of the markets and segmentation considered. Furthermore, the new entity will continue to face numerous competitors in each market in which it will be active.</w:t>
      </w:r>
    </w:p>
    <w:p>
      <w:r>
        <w:t>52. It follows from the above that the transaction is not likely to harm competition through conglomerate effects.</w:t>
      </w:r>
    </w:p>
    <w:p>
      <w:r>
        <w:t>DECIDES</w:t>
        <w:br/>
        <w:t>Sole Article: The transaction notified under number 19-162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