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https://www.autoritedelaconcurrence.fr/fr/decision-de-controle-des-concentrations/relative-la-prise-de-controle-exclusif-de-la-societe-alti</w:t>
      </w:r>
    </w:p>
    <w:p>
      <w:r>
        <w:t>Pages translated : 4</w:t>
      </w:r>
    </w:p>
    <w:p/>
    <w:p>
      <w:r>
        <w:rPr>
          <w:b/>
        </w:rPr>
        <w:t>[Pages 1–3]</w:t>
      </w:r>
    </w:p>
    <w:p>
      <w:r>
        <w:t xml:space="preserve">FRENCH REPUBLIC  </w:t>
        <w:br/>
        <w:t xml:space="preserve">Decision No. 13-DCC-56 of May 2, 2013  </w:t>
        <w:br/>
        <w:t xml:space="preserve">regarding the exclusive control of Alti SA  </w:t>
        <w:br/>
        <w:t xml:space="preserve">by Tata Consultancy Services Netherlands BV  </w:t>
        <w:br/>
        <w:t xml:space="preserve">The Competition Authority,  </w:t>
        <w:br/>
        <w:t xml:space="preserve">Having regard to the notification file submitted in full to the merger service on April 9, 2013,  </w:t>
        <w:br/>
        <w:t xml:space="preserve">regarding the exclusive control of Alti SA by Tata Consultancy Services Netherlands BV, formalized by a share transfer agreement signed between Tata Consultancy Services Netherlands BV and Financière Alti on April 8, 2013;  </w:t>
        <w:br/>
        <w:t xml:space="preserve">Having regard to Book IV of the Commercial Code relating to the freedom of prices and competition, and in particular Articles L. 430-1 to L. 430-10;  </w:t>
        <w:br/>
        <w:t xml:space="preserve">Having regard to the supplementary elements transmitted by the parties during the investigation;  </w:t>
        <w:br/>
        <w:t xml:space="preserve">Adopts the following decision:  </w:t>
        <w:br/>
        <w:t xml:space="preserve">I. The companies concerned and the operation  </w:t>
        <w:br/>
        <w:t xml:space="preserve">1. Tata Consultancy Services Netherlands BV (hereinafter "TCS") is a subsidiary of the Tata group, owned by the Tata family, active in the sectors of information and communication technologies, engineering, materials, services, energy, chemicals, and consumer products. TCS is active in the field of information technology services.  </w:t>
        <w:br/>
        <w:t xml:space="preserve">2. Alti SA (hereinafter "Alti") heads a group of companies active in the field of information technology services in France, Switzerland, Belgium, and Algeria. The Alti group is controlled by its founders, Messrs. X and Y, through Financière Alti.  </w:t>
        <w:br/>
        <w:t>3. Under the share transfer agreement signed on April 8, 2013, between TCS and Financière Alti, the operation consists of TCS acquiring the entirety of the capital of Alti SA, following the acquisition of the entirety of the capital of its subsidiaries and the transfer of its stakes in Alti Algeria, Teamlink, and Alti RC. As it results in the acquisition of exclusive control of the Alti group by the Tata group, the notified operation is a concentration within the meaning of Article L. 430-1 of the Commercial Code.</w:t>
      </w:r>
    </w:p>
    <w:p>
      <w:r>
        <w:t xml:space="preserve">4. The companies concerned together achieve a total worldwide turnover of more than 150 million euros (Tata group: [...] euros for the fiscal year ending March 30, 2012; Alti group: [...] euros for the fiscal year ending September 30, 2012). Both the Tata group and the Alti group each achieve a turnover in France exceeding 50 million euros (Tata group: [...] euros for the fiscal year ending March 30, 2012; Alti group: [...] euros for the fiscal year ending September 30, 2012). Given these turnovers, the operation does not have a Community dimension.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II. Definition of the relevant markets  </w:t>
        <w:br/>
        <w:t xml:space="preserve">5. The parties to the operation are simultaneously active in the field of information technology services.  </w:t>
        <w:br/>
        <w:t xml:space="preserve">A. SERVICE MARKETS  </w:t>
        <w:br/>
        <w:t xml:space="preserve">6. The competition authorities, both French and Community, have already had the opportunity to rule on the definition of the relevant markets in this sector, while leaving the question open. The decision-making practice has thus considered that the market for information technology services could be segmented into seven functional categories of services: (i) global management services, (ii) business management services, (iii) software development and integration, (iv) consulting, (v) software maintenance and logistical support, (vi) maintenance of IT equipment and logistical support, and (vii) education and training.  </w:t>
        <w:br/>
        <w:t xml:space="preserve">7. Various alternative or complementary segmentations have also been considered according to:  </w:t>
        <w:br/>
        <w:t xml:space="preserve">- the type of clientele, SMEs / SMIs or large accounts;  </w:t>
        <w:br/>
        <w:t xml:space="preserve">- the types of information and communication systems: (i) management application systems, which include IT services used to fulfill a horizontal function within companies or administrations; (ii) embedded scientific technical industrial application systems; (iii) generic application systems; (iv) IT infrastructure systems; and (v) communication infrastructure and enterprise network systems.  </w:t>
        <w:br/>
        <w:t xml:space="preserve">1 See, for example, the decisions of the Competition Authority No. 11-DCC-20 regarding the exclusive control of the APTUS group by the AUSY group and No. 09-DCC-93 of December 31, 2009, regarding the acquisition by Bull SA of assets from Crescendo Industries.  </w:t>
        <w:br/>
        <w:t xml:space="preserve">2 Decisions of the European Commission No. COMP/M.3555 - Hewlett-Packard / Synstar of September 9, 2004; No. COMP/M.3571 - IBM / Maerskdate / DMData of November 18, 2004; No. COMP/M.3995 Belgacom / Telindus of December 1, 2005; No. COMP/M.5197 - HP / EDS of July 25, 2008; and No. COMP/M.5301 - Cap Gemini / BAS of October 13, 2008.  </w:t>
        <w:br/>
        <w:t>3 See in particular the aforementioned decision No. 11-DCC-20.</w:t>
      </w:r>
    </w:p>
    <w:p>
      <w:r>
        <w:t xml:space="preserve">- the sector of activity, namely: (i) communications, (ii) education, (iii) energy and local networks, (iv) financial services, (v) public sector, (vi) health, (vii) industry, (viii) commerce and distribution, (ix) services, and (x) transport.  </w:t>
        <w:br/>
        <w:t xml:space="preserve">8. The operation leads to an overlap of activities between the parties in terms of (i) global management services, (ii) business management services, (iii) software development and integration, (iv) consulting, and (v) education and training. Furthermore, both address a clientele consisting mainly of large companies or "key accounts," with only Alti providing services to SMEs, in a marginal manner. Additionally, TCS and Alti provide services that fall under four information and communication systems: management application systems, embedded scientific technical industrial application systems, generic application systems, and communication infrastructure and enterprise network systems. Finally, they are present in the same sectors of activity, namely communications, financial services, industry, transport, commerce and distribution, and energy and local networks.  </w:t>
        <w:br/>
        <w:t xml:space="preserve">B. GEOGRAPHICAL MARKETS  </w:t>
        <w:br/>
        <w:t xml:space="preserve">9. The competition authorities have, on several occasions, held that the markets for information technology services were of national dimension, notably due to the necessity for service providers to communicate regularly in the language of their clients and to maintain a relative proximity to them. However, they have noted a certain internationalization of supply and demand.  </w:t>
        <w:br/>
        <w:t xml:space="preserve">10. In this case, the competitive analysis will be conducted at the national level.  </w:t>
        <w:br/>
        <w:t xml:space="preserve">III. Competitive analysis  </w:t>
        <w:br/>
        <w:t xml:space="preserve">11. The French market for information technology services is a dynamic and fragmented market, comprising more than 19,300 companies mainly concentrated in the Paris region. Major international groups are present, such as IBM, Cap Gemini, Accenture, Atos Origin, and Hewlett-Packard.  </w:t>
        <w:br/>
        <w:t xml:space="preserve">12. Thus, in the overall market for information technology services, the parties estimate their market shares, based on data provided by a specialized consulting firm, to be less than [0-5]% for each of the Alti and TCS groups, resulting in a combined market share of less than [0-5]%.  </w:t>
        <w:br/>
        <w:t xml:space="preserve">13. The parties further assess that in each of the functional segments their respective combined market share is less than [0-5]%. Similarly, regardless of the type of clientele or the information and communication system considered, their combined market shares are below [0-5]%. Finally, in the segment of large accounts, the parties  </w:t>
        <w:br/>
        <w:t xml:space="preserve">4 See in particular decisions No. 11-DCC-20 and No. 11-DCC-139 of September 20, 2011, regarding the exclusive control of Large Network Administration and its subsidiary LGD by SCC France; as well as the aforementioned decision No. COMP/M.5301.  </w:t>
        <w:br/>
        <w:t>5 Source: Xerfi, Information Technology Services, May 2010.</w:t>
      </w:r>
    </w:p>
    <w:p>
      <w:r>
        <w:rPr>
          <w:b/>
        </w:rPr>
        <w:t>[Pages 4–4]</w:t>
      </w:r>
    </w:p>
    <w:p>
      <w:r>
        <w:t xml:space="preserve">evaluate their market share at [0-5] % for the TCS group and at [0-5] % for the Alti group, resulting in a cumulative market share of [0-5] %. Finally, by segmenting the markets by sector of activity, the new entity would hold a market share of less than [0-5] % in each of the markets where the Alti and TCS groups are simultaneously present.  </w:t>
        <w:br/>
        <w:t xml:space="preserve">14. The proposed operation is therefore not likely to harm competition in the markets for IT services.  </w:t>
        <w:br/>
        <w:t xml:space="preserve">DECIDES  </w:t>
        <w:br/>
        <w:t xml:space="preserve">Sole Article: the operation notified under number 13-040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