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https://www.autoritedelaconcurrence.fr/fr/decision-de-controle-des-concentrations/relative-la-prise-de-controle-exclusif-de-la-societe-altia</w:t>
      </w:r>
    </w:p>
    <w:p>
      <w:r>
        <w:t>Pages translated : 4</w:t>
      </w:r>
    </w:p>
    <w:p/>
    <w:p>
      <w:r>
        <w:rPr>
          <w:b/>
        </w:rPr>
        <w:t>[Pages 1–3]</w:t>
      </w:r>
    </w:p>
    <w:p>
      <w:r>
        <w:t xml:space="preserve">FRENCH REPUBLIC  </w:t>
        <w:br/>
        <w:t xml:space="preserve">Decision No. 14-DCC-135 of September 29, 2014  </w:t>
        <w:br/>
        <w:t xml:space="preserve">regarding the exclusive control of the company Altia Industry by  </w:t>
        <w:br/>
        <w:t xml:space="preserve">the company Bpifrance Participations  </w:t>
        <w:br/>
        <w:t xml:space="preserve">The Competition Authority,  </w:t>
        <w:br/>
        <w:t xml:space="preserve">Having regard to the notification file, submitted complete to the merger service on August 27, 2014,  </w:t>
        <w:br/>
        <w:t xml:space="preserve">regarding the exclusive control of the company Altia Industry by the company Bpifrance  </w:t>
        <w:br/>
        <w:t xml:space="preserve">Participations, carried out under an investment protocol and a shareholders' agreement dated [confidential];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The company Bpifrance Participations is controlled by the company BPI-Groupe SA, at the head of  </w:t>
        <w:br/>
        <w:t xml:space="preserve">the BPI group, which is jointly controlled by the French State and the Caisse des Dépôts et  </w:t>
        <w:br/>
        <w:t xml:space="preserve">Consignations. The BPI group, which was created by Law No. 2012-1559 of December 31, 2012  </w:t>
        <w:br/>
        <w:t xml:space="preserve">relating to the creation of the Public Investment Bank (hereinafter "Law No. 2012-1559")  </w:t>
        <w:br/>
        <w:t xml:space="preserve">is a "public group serving the financing and development of companies,  </w:t>
        <w:br/>
        <w:t xml:space="preserve">acting in support of public policies conducted by the State and by the regions."  </w:t>
        <w:br/>
        <w:t xml:space="preserve">It controls companies present in various sectors of activity, including the company  </w:t>
        <w:br/>
        <w:t xml:space="preserve">Mecachrome, which operates in the sector of manufacturing industrial supplies, and  </w:t>
        <w:br/>
        <w:t xml:space="preserve">the modernization fund for automotive equipment suppliers (hereinafter "FMEA"), which has  </w:t>
        <w:br/>
        <w:t xml:space="preserve">minority stakes in companies in the automotive sector in France. The CDC  </w:t>
        <w:br/>
        <w:t xml:space="preserve">also controls the Génoyer group, which is active in the manufacturing and  </w:t>
        <w:br/>
        <w:t xml:space="preserve">sale of industrial supplies.  </w:t>
        <w:br/>
        <w:t xml:space="preserve">1 See in particular the decision of the Competition Authority No. 13-DCC-81 of July 2, 2013, regarding the creation of the  </w:t>
        <w:br/>
        <w:t>Public Investment Bank, a joint venture of the French State and the Caisse des Dépôts et Consignations.</w:t>
      </w:r>
    </w:p>
    <w:p>
      <w:r>
        <w:t xml:space="preserve">2. The company Altia Industry is at the head of the Altia Industry group, which operates in the  </w:t>
        <w:br/>
        <w:t xml:space="preserve">sector of manufacturing and distributing industrial supplies. Altia Industry is  </w:t>
        <w:br/>
        <w:t xml:space="preserve">controlled by the company Altia Group, which is itself jointly controlled by Mr. Patrick  </w:t>
        <w:br/>
        <w:t xml:space="preserve">Adolf, Mr. Patrick Durand, and Ms. Nicole Cohen.  </w:t>
        <w:br/>
        <w:t xml:space="preserve">3. Pursuant to the investment protocol and the shareholders' agreement dated [confidential]  </w:t>
        <w:br/>
        <w:t xml:space="preserve">between [confidential], the transaction involves the subscription by Bpifrance Participations to an  </w:t>
        <w:br/>
        <w:t xml:space="preserve">issuance of convertible bonds into shares issued by the company Altia Industry for an  </w:t>
        <w:br/>
        <w:t xml:space="preserve">amount of […] euros and the modification of the governance arrangements of the company  </w:t>
        <w:br/>
        <w:t xml:space="preserve">Altia Industry. Upon completion of the transaction, the distribution of capital and voting rights of the  </w:t>
        <w:br/>
        <w:t xml:space="preserve">company Altia Industry [confidential], only Bpifrance Participations will be able  </w:t>
        <w:br/>
        <w:t xml:space="preserve">to exercise a decisive influence on the strategic decisions of Altia Industry following  </w:t>
        <w:br/>
        <w:t xml:space="preserve">the transaction, even before converting its bonds into shares.  </w:t>
        <w:br/>
        <w:t xml:space="preserve">4. Insofar as it leads to the exclusive control of the company Altia Industry by the BPI group,  </w:t>
        <w:br/>
        <w:t xml:space="preserve">the operation constitutes a concentration within the meaning of Article L. 430-1 of the  </w:t>
        <w:br/>
        <w:t xml:space="preserve">Commercial Code.  </w:t>
        <w:br/>
        <w:t xml:space="preserve">5. Regarding the calculation of the turnover of public companies, only companies belonging to the same  </w:t>
        <w:br/>
        <w:t xml:space="preserve">economic entity with the same autonomous decision-making power are taken into account, regardless of the  </w:t>
        <w:br/>
        <w:t xml:space="preserve">holding of their capital or the rules of administrative supervision applicable to them, and not all  </w:t>
        <w:br/>
        <w:t xml:space="preserve">companies owned by the State. When a public company is not subject to any coordination with other  </w:t>
        <w:br/>
        <w:t xml:space="preserve">groups controlled by the State, it should be treated as an autonomous group for the purposes of  </w:t>
        <w:br/>
        <w:t xml:space="preserve">calculating turnover and not take into account the turnover of other  </w:t>
        <w:br/>
        <w:t xml:space="preserve">companies owned by the State. Conversely, when several public companies fall  </w:t>
        <w:br/>
        <w:t xml:space="preserve">under an autonomous center of commercial decision-making, the turnover of all these companies should be taken into account.  </w:t>
        <w:br/>
        <w:t xml:space="preserve">6. In this case, the French State also holds in the same sector as the BPI group the  </w:t>
        <w:br/>
        <w:t xml:space="preserve">La Banque Postale group (hereinafter "LBP"). LBP is a banking group, a subsidiary of the La Poste group, active in the  </w:t>
        <w:br/>
        <w:t xml:space="preserve">banking sectors (retail banking and asset management) and insurance. LBP is 100% owned by the La Poste Group,  </w:t>
        <w:br/>
        <w:t xml:space="preserve">whose parent company, La Poste SA, is jointly controlled by the French State and the CDC. The parties consider that the  </w:t>
        <w:br/>
        <w:t xml:space="preserve">BPI group and the LBP group are autonomous, as the head companies of the two groups are subject to  </w:t>
        <w:br/>
        <w:t xml:space="preserve">autonomous governance systems, with the directors representing the State on the boards of directors of these two entities being different. However, it is  </w:t>
        <w:br/>
        <w:t xml:space="preserve">not necessary in this case to determine whether the BPI has autonomous decision-making power or is subject to coordination with LBP. The operation does not fall under the  </w:t>
        <w:br/>
        <w:t xml:space="preserve">competence of the European Union, as the concerned companies all generate more than two-thirds of their turnover in France.  </w:t>
        <w:br/>
        <w:t xml:space="preserve">2 Pursuant to Articles 15 and 16 of the bylaws of the Altia Group, it is administered by a board of directors composed of three members (Messrs. Durand and Adolf and Ms. Cohen) and which decides unanimously. The strategic decisions of the Altia Industry company are therefore made jointly by the three shareholders and directors, who thus control the Altia Group.  </w:t>
        <w:br/>
        <w:t xml:space="preserve">3 See the provisions of Article 3 of the investment protocol dated [confidential].  </w:t>
        <w:br/>
        <w:t xml:space="preserve">4 See the provisions of Article 2.2.2 of the shareholders' agreement concluded on [confidential].  </w:t>
        <w:br/>
        <w:t xml:space="preserve">5 See the provisions of Article 2.2.1 of the shareholders' agreement concluded on [confidential].  </w:t>
        <w:br/>
        <w:t xml:space="preserve">6 Guidelines of the Competition Authority regarding the control of concentrations, §109 et seq. See also §§192 and following of the consolidated communication on the competence of the Commission under Regulation No. 139/2004.  </w:t>
        <w:br/>
        <w:t>7 See the decision of the Competition Authority No. 11-DCC-32 of February 22, 2011, regarding the joint control of the La Poste group by the Caisse des Dépôts et Consignations and the French State.</w:t>
      </w:r>
    </w:p>
    <w:p>
      <w:r>
        <w:t xml:space="preserve">7. The companies concerned together achieve a total worldwide turnover of more than 150 million euros (BPI group: [...] euros for the fiscal year ending December 31, 2013; Altia Industry group: [...] euros for the same fiscal year). Each of these two companies achieves a turnover in France exceeding 50 million euros (BPI group: [...] euros for the fiscal year ending December 31, 2013; Altia Industry group: [...] euros for the same fiscal year). The control thresholds mentioned in I of Article L. 430-2 of the Commercial Code are exceeded. This operation is therefore subject to the provisions of Articles L. 430-3 and following of the Commercial Code relating to economic concentration.  </w:t>
        <w:br/>
        <w:t xml:space="preserve">II. Definition of Relevant Markets  </w:t>
        <w:br/>
        <w:t xml:space="preserve">8. Altia Industry, the company Mecachrome, a subsidiary of BPI, and the Génoyer group, controlled by the CDC, are simultaneously active in the sector of manufacturing and selling industrial supplies.  </w:t>
        <w:br/>
        <w:t xml:space="preserve">9. The decision-making practice has considered that the industrial supplies sector could be segmented into as many markets as there are families of products, as each family of products serves a particular function and is not substitutable for others in the eyes of professionals. The following markets have thus been identified: (i) tooling, (ii) machining, (iii) transmission, (iv) automation, (v) assembly, (vi) equipment, as well as (vii) protection, hygiene, and safety.  </w:t>
        <w:br/>
        <w:t xml:space="preserve">10. The possibility of a finer segmentation of the machining market has been considered by the decision-making practice. Thus, the existence of a distinct market for metal turning (a technique that allows the manufacture of metal parts from bars, rings, or metal blanks) and segmentation based on the industrial sectors to which the machined parts are intended or according to the type of machined parts have been considered.  </w:t>
        <w:br/>
        <w:t xml:space="preserve">11. Regarding the geographical delimitation of the markets for industrial supplies, machining, and turning, the decision-making practice has analyzed the effects of concentration operations at the national and regional levels, while leaving the precise delimitation of the geographical scope of the concerned markets open.  </w:t>
        <w:br/>
        <w:t xml:space="preserve">12. The question of the precise definition of the markets can also be left open in this case, as, regardless of the definition retained, the conclusions of the analysis will remain unchanged.  </w:t>
        <w:br/>
        <w:t xml:space="preserve">8 See the letter from the Minister of Economy, Finance, and Employment dated October 18, 2007, to the councils of the Orexad group, regarding a concentration in the industrial supplies distribution sector and the decision of the Competition Authority No. 10-DCC-155 of November 2, 2010, regarding the exclusive control of the RBDH group by the Business Consolidation and Development Fund.  </w:t>
        <w:br/>
        <w:t xml:space="preserve">9 See the letter from the Minister of Economy, Finance, and Industry dated January 23, 2004, to the council of the BACME investment fund, regarding a concentration in the metal machining sector and the decision of the Competition Authority No. 10-DCC-155 mentioned above.  </w:t>
        <w:br/>
        <w:t xml:space="preserve">10 See the letter from the Minister of Economy dated January 23, 2004, mentioned above, and the decision of the Competition Authority No. 10-DCC-155 mentioned above.  </w:t>
        <w:br/>
        <w:t>11 See the letters from the Minister of Economy dated January 23, 2004, and October 18, 2007 (No. C2007-108) mentioned above, as well as the decision of the Competition Authority No. 10-DCC-155 mentioned above.</w:t>
      </w:r>
    </w:p>
    <w:p>
      <w:r>
        <w:rPr>
          <w:b/>
        </w:rPr>
        <w:t>[Pages 4–4]</w:t>
      </w:r>
    </w:p>
    <w:p>
      <w:r>
        <w:t xml:space="preserve">III. Competitive Analysis  </w:t>
        <w:br/>
        <w:t xml:space="preserve">13. Altia Industry, Mecachrome, and the Genoyer group are simultaneously present in the machining market and in the metal turning segment.  </w:t>
        <w:br/>
        <w:t xml:space="preserve">14. In the machining market, the combined market share of the parties is below [0-5]% at the national level. At the regional level, the activities of the parties overlap in Aquitaine, Rhône-Alpes, Franche-Comté, Auvergne, and Nord-Pas-de-Calais, but their combined market share remains below [0-5]% in each of these regions.  </w:t>
        <w:br/>
        <w:t xml:space="preserve">15. The market shares of the parties also remain below [0-5]% in any potential segmentations of the machining market, whether at the national or regional level.  </w:t>
        <w:br/>
        <w:t xml:space="preserve">16. Consequently, the notified operation is not likely to harm competition through horizontal effects.  </w:t>
        <w:br/>
        <w:t xml:space="preserve">DECIDES  </w:t>
        <w:br/>
        <w:t xml:space="preserve">Sole Article: The operation notified under number 14-089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