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https://www.autoritedelaconcurrence.fr/fr/decision-de-controle-des-concentrations/relative-la-prise-de-controle-exclusif-de-la-societe-altice</w:t>
      </w:r>
    </w:p>
    <w:p>
      <w:r>
        <w:t>Pages translated : 20</w:t>
      </w:r>
    </w:p>
    <w:p/>
    <w:p>
      <w:r>
        <w:rPr>
          <w:b/>
        </w:rPr>
        <w:t>[Pages 1–3]</w:t>
      </w:r>
    </w:p>
    <w:p>
      <w:r>
        <w:t>FRENCH REPUBLIC</w:t>
        <w:br/>
        <w:t>Decision No. 24-DCC-141 of June 28, 2024</w:t>
        <w:br/>
        <w:t>regarding the exclusive control of Altice Média by</w:t>
        <w:br/>
        <w:t>the CMA CGM group</w:t>
        <w:br/>
        <w:t>The Competition Authority,</w:t>
        <w:br/>
        <w:t>Having regard to the request for referral from the CMA CGM group addressed to the European Commission pursuant to Article 4, paragraph 4, of Council Regulation (EC) No. 139/2004 and the referral decision of the Commission dated May 6, 2024, notified to the Competition Authority on May 7, 2024;</w:t>
      </w:r>
    </w:p>
    <w:p>
      <w:r>
        <w:t>Having regard to the complete notification file submitted to the concentrations service on May 13, 2024, regarding the acquisition by the CMA CGM group of exclusive control of Altice Média, formalized by a memorandum of understanding dated March 15, 2024;</w:t>
      </w:r>
    </w:p>
    <w:p>
      <w:r>
        <w:t>Having regard to Book IV of the Commercial Code relating to price freedom and competition, and in particular its Articles L. 430-1 to L. 430-7;</w:t>
      </w:r>
    </w:p>
    <w:p>
      <w:r>
        <w:t>Having regard to the commitments submitted on June 17, 2024, by the notifying party;</w:t>
      </w:r>
    </w:p>
    <w:p>
      <w:r>
        <w:t>Having regard to the additional elements transmitted by the notifying party during the investigation;</w:t>
      </w:r>
    </w:p>
    <w:p>
      <w:r>
        <w:t>Having regard to the other documents in the file;</w:t>
      </w:r>
    </w:p>
    <w:p>
      <w:r>
        <w:t>Adopts the following decision:</w:t>
      </w:r>
    </w:p>
    <w:p>
      <w:r>
        <w:t>Summary1</w:t>
        <w:br/>
        <w:t>By this decision, the Authority examined the operation of the exclusive control of Altice Media by CMA CGM. CMA CGM is a group primarily active in the maritime freight transport sector, port terminal management, logistics, and air freight transport. It also operates print media publishing activities through its titles La Provence, Corse Matin, La Tribune, and La Tribune du Dimanche, as well as the associated news websites. Altice Media is a subsidiary of Altice France. Altice Media publishes various pay television channels (BFM Business TV) and free channels broadcast via terrestrial digital transmission, national (BFM TV, RMC Découverte, and RMC Story) and local (ten local channels), national radio stations broadcast via terrestrial transmission (RMC and BFM Business) or online (BFM Radio), as well as the associated news websites. However, the pay channels RMC Sport 1 and 2 are not part of the scope of the operation.</w:t>
      </w:r>
    </w:p>
    <w:p>
      <w:r>
        <w:t>At the end of the investigation, the Authority identified a risk of conglomerate effect likely to lead to the exclusion of competitors of La Provence in the regional daily press markets (hereinafter, "PQR"). The Authority noted that the new entity could implement a coupling strategy of advertising space offers from La Provence and the local BFM channels Marseille, BFM DICI, BFM Nice, or BFM Toulon (the "BFM PACA" channels). Given, in particular, the sometimes nearly monopolistic market positions of La Provence in the PQR markets and the existence of a significant common advertiser base between La Provence and BFM PACA, the concentration could harm the local competitive structure and thus reduce, in the long term, the supply of PQR newspapers. The new entity would indeed have had the capacity and incentive to use its bundled sales offers as leverage to lead or coerce certain advertisers to favor its advertising space offers, to the detriment of those of La Provence's competing newspapers. A loss of advertising revenue, in the difficult economic context currently faced by the PQR, could lead, due to the operation, to the disappearance of competing newspapers and thus deprive readers and local advertisers of alternative offers to those of La Provence.</w:t>
      </w:r>
    </w:p>
    <w:p>
      <w:r>
        <w:t>To remedy the identified risks to competition, CMA CGM has undertaken behavioral commitments for a duration of five years. In particular, CMA CGM has committed to not practicing, directly or indirectly (towards advertisers, media agencies, or through third parties), any form of coupling (including in disguised forms, namely subordination or the granting of advantages and counter-benefits) between the sale of advertising spaces of La Provence, on the one hand, and the BFM PACA channels (local BFM channels whose broadcast area overlaps with that of La Provence), on the other hand. In the event that these sales are carried out by third parties, the notifying party has committed to inserting clauses in the relevant contracts preventing any coupling between these same advertising space sales.</w:t>
      </w:r>
    </w:p>
    <w:p>
      <w:r>
        <w:t>1 This summary is strictly informative. Only the reasons for the decision numbered below are authoritative.</w:t>
      </w:r>
    </w:p>
    <w:p>
      <w:r>
        <w:t>In the context of implementing the commitment, CMA CGM has also committed to maintaining a separation of the respective advertising agencies of La Provence and the BFM PACA channels. Finally, CMA CGM commits to training and raising awareness among the staff of the advertising agencies of La Provence and BFM PACA regarding the commitments. The monitoring of the implementation of these commitments will be ensured by an independent representative. Finally, the Authority will ensure that the modalities of the representation of the CMA CGM group on the supervisory board of Métropole Télévision do not allow for the transmission of commercially sensitive information. Given the commitments undertaken by CMA CGM, the Authority authorized the operation at the conclusion of the phase 1 examination.</w:t>
      </w:r>
    </w:p>
    <w:p>
      <w:r>
        <w:rPr>
          <w:b/>
        </w:rPr>
        <w:t>[Pages 4–6]</w:t>
      </w:r>
    </w:p>
    <w:p>
      <w:r>
        <w:t xml:space="preserve">I. The Companies Concerned and the Operation  </w:t>
        <w:br/>
        <w:t xml:space="preserve">A. THE COMPANIES CONCERNED  </w:t>
        <w:br/>
        <w:t xml:space="preserve">1. The public limited company CMA CGM, exclusively controlled by Merit France, a holding company of the Saadé family, is at the head of the CMA CGM group, which is primarily active in the sectors of maritime freight transport, port terminal management, logistics, and air freight transport. It also operates print media publishing activities through its subsidiary WhyNot Media, which owns the print media titles La Provence, Corse Matin, La Tribune, and La Tribune du Dimanche, and publishes the associated news websites. CMA CGM markets advertising space and classified ads for its media titles and organizes events. Furthermore, CMA CGM notably holds a non-controlling minority stake, within the meaning of competition law, of 10.27% in the company Métropole Télévision (M6 group).  </w:t>
        <w:br/>
        <w:t xml:space="preserve">2. Altice Media is a subsidiary of Altice France. It publishes various pay television channels (BFM Business TV) and free channels broadcast via terrestrial digital transmission, national (BFM TV, RMC Découverte, RMC Story, and RMC Sport) and local, national radio stations broadcast via terrestrial transmission (RMC and BFM Business) or online (BFM Radio), as well as the associated news websites. It has its own advertising agency, Altice Media Ads &amp; Connect, which markets its advertising space and also organizes events.  </w:t>
        <w:br/>
        <w:t xml:space="preserve">B. THE OPERATION  </w:t>
        <w:br/>
        <w:t xml:space="preserve">3. The operation, materialized by a memorandum of understanding dated March 15, 2024, consists of the acquisition by the companies CMA CGM and Merit France Investissements of all the shares of the company Altice Media. However, the operation does not include the subsidiary of Altice Media Sportscotv, which publishes and markets pay television channels under the brand "RMC Sport" (RMC Sport 1 and 2, live and replay).  </w:t>
        <w:br/>
        <w:t xml:space="preserve">4. Following the operation, Altice Media will therefore be exclusively controlled by CMA CGM. Consequently, the operation results in a change of control and constitutes a concentration within the meaning of Article L. 430-1 of the Commercial Code.  </w:t>
        <w:br/>
        <w:t xml:space="preserve">5. This operation falls under the jurisdiction of the European Union pursuant to Article 1, paragraph 2, of Council Regulation (EC) No. 139/2004 on concentrations.  </w:t>
        <w:br/>
        <w:t xml:space="preserve">6. Indeed, the companies concerned have jointly achieved a consolidated worldwide turnover of over 5 billion euros (CMA CGM: [≥ 5] billion euros for the fiscal year ending December 31, 2023; Altice Media: [≤ 5 billion] euros for the fiscal year ending December 31, 2023). Furthermore, each of them has achieved a turnover in the European Union exceeding 250 million euros (CMA CGM: [≥ 250 million] euros for the fiscal year ending December 31, 2023; Altice Media: [≥ 250] million euros for the fiscal year ending December 31, 2023). Finally, only Altice Media has generated more than two-thirds of its turnover in the European Union in a single Member State, France.  </w:t>
        <w:br/>
        <w:t xml:space="preserve">7. On April 3, 2024, CMA CGM submitted to the European Commission (hereinafter "the Commission"), by means of a reasoned memorandum, a request for total referral of the operation to the Authority, pursuant to Article 4, paragraph 4, of Regulation No. 139/2004. By decision M.11511 of May 6, 2024, notified to the Authority on May 7, 2024, the Commission considered that the conditions for a referral to the Authority were met. The exclusive control of Altice Media by CMA CGM is therefore subject, pursuant to IV of Article L. 430-2 of the Commercial Code, to the provisions of said code.  </w:t>
        <w:br/>
        <w:t xml:space="preserve">II. Definition of the Relevant Markets  </w:t>
        <w:br/>
        <w:t xml:space="preserve">8. The parties are simultaneously active in the sectors of event organization and operation of their news websites, which are primarily websites associated with their television channels, radio stations, and press titles. However, in the markets analyzed in accordance with the decision-making practice of the Competition Authority, the new entity holds market shares below 25% or the increment in market shares resulting from the operation is less than two points. Consequently, the presentation of these markets is not necessary for the purposes of this analysis.  </w:t>
        <w:br/>
        <w:t xml:space="preserve">9. The markets primarily concerned by the operation are those of print media, in which CMA CGM is active, and the television advertising market in which Altice Media is active.  </w:t>
        <w:br/>
        <w:t xml:space="preserve">A. THE MARKETS OF PRINT MEDIA  </w:t>
        <w:br/>
        <w:t xml:space="preserve">10. The Competition Authority considers that print media constitutes a distinct market from other traditional media (television, radio, etc.).  </w:t>
        <w:br/>
        <w:t xml:space="preserve">11. Within the print media sector, the Authority distinguishes between national daily press, regional press, magazine press, free press, and specialized press.  </w:t>
        <w:br/>
        <w:t xml:space="preserve">12. For each type of press, three markets are distinguished: readership, sale of advertising space, and sale of classified ads. In this case, only the markets of readership and sale of advertising space, which are concerned in a conglomerate manner by the operation, are presented below.  </w:t>
        <w:br/>
        <w:t xml:space="preserve">The Readership Markets  </w:t>
        <w:br/>
        <w:t xml:space="preserve">13. The Authority distinguishes different readership markets based on the type of information highlighted, style, presentation, periodicity, commercial policy (subscription or single issue sales), price, and characteristics of readers (gender, age, socio-professional categories, income, and residence).  </w:t>
        <w:br/>
        <w:t xml:space="preserve">14. Regarding the readership market of regional press, the decision-making practice distinguishes, due to the different periodicity of the titles, the market of PQR from that of weekly regional press.  </w:t>
        <w:br/>
        <w:t xml:space="preserve">The Markets for the Sale of Advertising Space in Print Media  </w:t>
        <w:br/>
        <w:t xml:space="preserve">15. The Authority has considered that the market for advertising in print media should be segmented based on the category of the press title: (i) national daily press, (ii) PQR, (iii) magazine press, (iv) free press, and (v) specialized press.  </w:t>
        <w:br/>
        <w:t xml:space="preserve">16. The decision-making practice has also considered distinguishing a market for financial advertising and a market for commercial advertising.  </w:t>
        <w:br/>
        <w:t>17. Regarding regional daily press, a distinction can also be considered between local advertising and extra-local advertising.</w:t>
      </w:r>
    </w:p>
    <w:p>
      <w:r>
        <w:rPr>
          <w:b/>
        </w:rPr>
        <w:t>[Pages 7–9]</w:t>
      </w:r>
    </w:p>
    <w:p>
      <w:r>
        <w:t>17. According to a consistent decision-making practice, the geographical dimension of the markets for printed press corresponds to their distribution area, which can be of national, regional, departmental, or sub-departmental dimensions.</w:t>
      </w:r>
    </w:p>
    <w:p>
      <w:r>
        <w:t>B. THE MARKETS FOR TELEVISION ADVERTISING</w:t>
      </w:r>
    </w:p>
    <w:p>
      <w:r>
        <w:t>18. According to the decision-making practice of the Authority, the television advertising market is not subject to finer segmentation and constitutes, as such, a service market concerned by the operation.</w:t>
      </w:r>
    </w:p>
    <w:p>
      <w:r>
        <w:t>19. The Authority has also considered the existence of a sponsorship market, which refers to any contribution from a company or a public or private legal entity or an individual, not engaged in the activities of publishing television services or audiovisual media on demand or producing audiovisual works, to the financing of television services or programs with the aim of promoting its name, brand, image, activities, products, or services.</w:t>
      </w:r>
    </w:p>
    <w:p>
      <w:r>
        <w:t>20. The decision-making practice of the Authority considers that the geographical dimension of the television advertising market is national, due to linguistic and cultural barriers, except in the case of local television advertising, for which the geographical market corresponds to the distribution area of the television.</w:t>
      </w:r>
    </w:p>
    <w:p>
      <w:r>
        <w:t>III. Competitive Analysis</w:t>
      </w:r>
    </w:p>
    <w:p>
      <w:r>
        <w:t>21. The parties to the transaction are active in related markets where the concentration is likely to have conglomerate effects.</w:t>
      </w:r>
    </w:p>
    <w:p>
      <w:r>
        <w:t>22. While conglomerate concentrations can generally create pro-competitive synergies, some may nevertheless produce restrictive effects on competition when they allow for the technical or commercial tying of sales or purchases of the components of the grouping in a way that locks the market and excludes competitors.</w:t>
      </w:r>
    </w:p>
    <w:p>
      <w:r>
        <w:t>23. As specified in the guidelines of the Authority concerning the control of concentrations, conglomerate effects are likely to materialize notably in the context of offers that tie or bundle goods or services produced in distinct markets. This type of offer can take different forms, namely pure or mixed bundling.</w:t>
      </w:r>
    </w:p>
    <w:p>
      <w:r>
        <w:t>24. In this case, some of the respective media of the parties to the transaction exhibit links of relatedness and similarities, either considering their themes (national television channels and national radio stations – and their associated news websites – BFM Business, on one hand, daily newspapers La Tribune and La Tribune du Dimanche and their associated news websites, on the other hand), or considering their distribution areas (local television channels BFM Régions and their associated news websites, on one hand, regional daily La Provence and its associated news website, on the other hand).</w:t>
      </w:r>
    </w:p>
    <w:p>
      <w:r>
        <w:t>25. The market shares of the parties, in terms of their economic and financial news media activities, in the related markets of national daily press and television advertising space sales, are, however, significantly below 30%. Given these low market shares, any risk of harm to competition through conglomerate effects can be ruled out in these markets. They will therefore not be subject to detailed analysis in this decision.</w:t>
      </w:r>
    </w:p>
    <w:p>
      <w:r>
        <w:t>26. The operation primarily creates a link of relatedness between the activities of the parties at the local level, in the Southeast of France. CMA CGM publishes the newspaper La Provence, which is distributed in the form of nine distinct editions in a global area including the departments of Bouches-du-Rhône (13), Vaucluse (84), and Alpes-de-Haute-Provence (04). Altice Media, for its part, publishes various local channels, some of which are broadcast in the aforementioned departments (namely, primarily, the channels BFM Marseille and BFM DICI and, more marginally, BFM Nice and BFM Toulon – hereinafter, the "BFM PACA" channels).</w:t>
      </w:r>
    </w:p>
    <w:p>
      <w:r>
        <w:t>27. Thus, the concentration leads CMA CGM to extend its activity into audiovisual markets, related to those of the printed press, in a geographical area where it publishes the newspaper La Provence.</w:t>
      </w:r>
    </w:p>
    <w:p>
      <w:r>
        <w:t>28. After defining the positions of the parties in the relevant markets (A), the analysis will aim to assess the conglomerate risks in these markets (B).</w:t>
      </w:r>
    </w:p>
    <w:p>
      <w:r>
        <w:t>A. POSITIONS OF THE PARTIES IN THE RELEVANT MARKETS</w:t>
      </w:r>
    </w:p>
    <w:p>
      <w:r>
        <w:t>The readership markets</w:t>
      </w:r>
    </w:p>
    <w:p>
      <w:r>
        <w:t>29. La Provence enjoys very significant market shares in its distribution area in the readership markets.</w:t>
      </w:r>
    </w:p>
    <w:p>
      <w:r>
        <w:t>Table 1 - Market shares held by La Provence in the readership markets in PQR, in its overall distribution area and by department</w:t>
      </w:r>
    </w:p>
    <w:p>
      <w:r>
        <w:t>Departments</w:t>
        <w:br/>
        <w:t>Area</w:t>
        <w:br/>
        <w:t>2023 - In overall value</w:t>
        <w:br/>
        <w:t>13 84 04</w:t>
        <w:br/>
        <w:t>La Provence [80-90] % [90-100] % [60-70] % [90-100] %</w:t>
        <w:br/>
        <w:t>La Marseillaise [0-5] % [5-10] % - -</w:t>
        <w:br/>
        <w:t>Groupe EBRA [10-20] % - [30-40] % [0-5] %</w:t>
        <w:br/>
        <w:t>Total market 100 % 100% 100% 100 %</w:t>
      </w:r>
    </w:p>
    <w:p>
      <w:r>
        <w:t>30. Regarding the market shares that the new entity could hold at the sub-departmental level, the notifying party considers that these "would be similar to those presented at the departmental level." The Authority considers that it cannot be excluded that these could reach monopolistic or quasi-monopolistic levels. Indeed, La Provence is distributed through nine distinct printed editions where its competitors distribute a single edition across the entire department of Bouches-du-Rhône (La Marseillaise), Vaucluse (Groupe EBRA, through Vaucluse Matin – Provençale edition), and the department of Alpes-de-Haute-Provence (Groupe EBRA through Dauphiné Libéré – Hautes-Alpes and Alpes de Haute-Provence edition).</w:t>
      </w:r>
    </w:p>
    <w:p>
      <w:r>
        <w:rPr>
          <w:b/>
        </w:rPr>
        <w:t>[Pages 10–12]</w:t>
      </w:r>
    </w:p>
    <w:p>
      <w:r>
        <w:t>The Markets for the Sale of Advertising Space in Print Media</w:t>
      </w:r>
    </w:p>
    <w:p>
      <w:r>
        <w:t xml:space="preserve">31. La Provence also benefits from equally significant positions in its broadcasting area in the markets for the sale of advertising space in the PQR.  </w:t>
        <w:br/>
        <w:t xml:space="preserve">Table 2 - Market Shares Held by La Provence in the Markets for the Sale of Advertising Space in the PQR, in its Overall Broadcasting Area  </w:t>
        <w:br/>
        <w:t xml:space="preserve">2022 - In Value Global Local Extra-local  </w:t>
        <w:br/>
        <w:t xml:space="preserve">La Provence [60-70] % [50-60] % [90-100] %  </w:t>
        <w:br/>
        <w:t xml:space="preserve">La Marseillaise [10-20] % [10-20] % [0-5] %  </w:t>
        <w:br/>
        <w:t xml:space="preserve">Groupe EBRA [20-30] % [20-30] % [5-10] %  </w:t>
        <w:br/>
        <w:t>Total Market 100 % 100 % 100 %</w:t>
      </w:r>
    </w:p>
    <w:p>
      <w:r>
        <w:t>32. For reasons similar to those outlined in paragraph 30 above, it cannot be excluded that La Provence's market shares reach monopolistic or quasi-monopolistic levels at the sub-departmental level. Indeed, it emerges from the investigation that certain advertisements vary according to the distinct editions of La Provence, unlike the single editions published by competing newspapers.</w:t>
      </w:r>
    </w:p>
    <w:p>
      <w:r>
        <w:t xml:space="preserve">33. Altice Media finds itself, through its local channels BFM Marseille and BFM DICI, in a duopoly situation in the markets for the sale of television advertising space in the area encompassing the departments of Bouches-du-Rhône (13), Vaucluse (84), and Alpes-de-Haute-Provence (04), where it faces competition from the local channel France 3 PACA.  </w:t>
        <w:br/>
        <w:t xml:space="preserve">Table 3 - Market Shares Held by BFM Marseille and BFM DICI in the Markets for the Sale of Television Advertising Space, in the Overall Area Including the Departments of Bouches-du-Rhône, Vaucluse, and Alpes-de-Haute-Provence  </w:t>
        <w:br/>
        <w:t xml:space="preserve">(source: notification form – after processing)  </w:t>
        <w:br/>
        <w:t xml:space="preserve">2022 - In Value Global Local Extra-local  </w:t>
        <w:br/>
        <w:t xml:space="preserve">BFM Marseille and BFM DICI [30-40] % [30-40] % [5-10] %  </w:t>
        <w:br/>
        <w:t xml:space="preserve">France 3 PACA [60-70] % [60-70] % [90-100] %  </w:t>
        <w:br/>
        <w:t>Total Market 100 % 100 % 100 %</w:t>
      </w:r>
    </w:p>
    <w:p>
      <w:r>
        <w:t>34. The notifying party, while unable to provide data at the departmental or sub-departmental level, further considers that calculating market shares at such levels would not be relevant since advertisers of the BFM Marseille Provence and BFM DICI channels would purchase their advertising space "taking into account (i) the extent of the broadcasting area of each of these channels and (ii) the price" and "cannot purchase a broadcast of their ads by department."</w:t>
      </w:r>
    </w:p>
    <w:p>
      <w:r>
        <w:t>35. In this case, there is no reason to consider that market shares at a lower geographical level would be significantly different, given that the broadcasting area of France 3 PACA covers the broadcasting areas of the BFM Marseille Provence and BFM DICI channels and that, moreover, the latter do not offer the possibility of purchasing television advertising space for a narrower broadcast than their respective broadcasting areas.</w:t>
      </w:r>
    </w:p>
    <w:p>
      <w:r>
        <w:t>B. ANALYSIS OF CONGLOMERATE RISKS</w:t>
      </w:r>
    </w:p>
    <w:p>
      <w:r>
        <w:t>36. When analyzing conglomerate effects, the Authority examines whether the new entity would, after the concentration, have the ability to lock access to one or more markets, whether it would be incentivized to do so, and whether a locking strategy would have a significant effect on the markets in question. In practice, these three conditions are closely linked.</w:t>
      </w:r>
    </w:p>
    <w:p>
      <w:r>
        <w:t>37. In this case, the locking strategy could consist of bundling the sale of television advertising space on BFM Marseille Provence and BFM DICI with advertising space in La Provence.</w:t>
      </w:r>
    </w:p>
    <w:p>
      <w:r>
        <w:t>38. Such a strategy could lead the new entity to impose on its advertising clients a commercial obligation to purchase both advertising space offers together (television and print), or to sell them under conditions that would be better than those offered if the offers were purchased separately. It could then lock the relevant markets and lead its competitors, who would notably not be able to replicate such a bundled offer, to lose clients and, ultimately, to be excluded from these markets.</w:t>
      </w:r>
    </w:p>
    <w:p>
      <w:r>
        <w:t>39. The effects of a bundling strategy would not lead to a reduction in competitive intensity between Altice Media and its sole competitor, France 3 PACA, nor, a fortiori, to exclude it from these duopolistic markets.</w:t>
      </w:r>
    </w:p>
    <w:p>
      <w:r>
        <w:t>40. In this regard, the new entity would have neither the incentive nor the expected effects of such a strategy.</w:t>
      </w:r>
    </w:p>
    <w:p>
      <w:r>
        <w:t>41. Firstly, advertisers would place greater importance on television advertising media than on advertising space in the PQR when developing their campaigns. According to the notifying party, "advertisers may seek devices that allow them to combine the strengths of different media during a campaign" and "the PQR is [...] most often associated with other media, particularly digital, radio, and outdoor advertising. In allocating their budget among the various media they have chosen for a campaign, advertisers tend to favor other media to the detriment of the PQR."</w:t>
      </w:r>
    </w:p>
    <w:p>
      <w:r>
        <w:t>42. Secondly, France 3 PACA cannot be excluded from the market due to the implementation of a bundling strategy. Firstly, the channel holds significant market power in the markets where it is active. As shown in Table 3 above, France 3 PACA consistently holds market shares exceeding 60%. Furthermore, France 3 PACA is published by the public broadcasting group France Télévisions, which is specifically tasked, pursuant to Article 44 of Law No. 86-1067 of September 30, 1986, relating to the freedom of communication, with "designing and programming television broadcasts of a national, regional, and local nature." Considering this public service objective that applies not only to the France 3 PACA channel but to the entire France Télévisions group, whose economic balance does not depend solely on the local advertising revenues of one of its local channels, a locking strategy implemented by the new entity could not lead such an important group, subject to public service obligations, to eliminate its regional and local public audiovisual offer in a population area as significant as the PACA region and consequently its ability to provide alternative offers to the new entity in terms of the sale of television advertising space.</w:t>
      </w:r>
    </w:p>
    <w:p>
      <w:r>
        <w:t>43. Therefore, the operation is not likely to harm competition in these markets through conglomerate effects.</w:t>
      </w:r>
    </w:p>
    <w:p>
      <w:r>
        <w:t>44. It emerges from the investigation that a strategy aimed, for the new entity, at implementing bundling offers when marketing the respective advertising spaces of La Provence and the BFM PACA channels, would likely lead, in the long term, to the exclusion of La Provence's competitors due to a loss of part of their advertising revenues and, ultimately, to deprive local consumers and advertisers of competitive offers in PQR newspapers in La Provence's broadcasting area.</w:t>
      </w:r>
    </w:p>
    <w:p>
      <w:r>
        <w:t>45. Firstly, the new entity has the capacity to implement such leverage. Firstly, it will benefit from La Provence's market power which, as shown in Tables 1 and 2 above, holds market shares at times at a quasi-monopolistic level in the readership and advertising space sales markets.</w:t>
      </w:r>
    </w:p>
    <w:p>
      <w:r>
        <w:t>46. Furthermore, La Provence benefits from its membership in an economically significant group (see paragraph 5 above), while regional daily press is a weakened economic sector. The notifying party indicated in this regard that "the price of advertising space in the PQR fell sharply between 2019 and 2020 due to the Covid-19 crisis ([…] % for La Provence) and has not been able to be significantly increased since ([…] % for La Provence)"; "despite [a] stable pricing since 2020, La Provence's advertising revenue has continued to decline, notably due to the continuous drop in its circulation"; and that "this decline is general across the PQR market." Regarding the situation of its competitors, the notifying party noted that "the Ebra group, which publishes the titles Vaucluse Matin and Le Dauphiné Libéré,..."</w:t>
      </w:r>
    </w:p>
    <w:p>
      <w:r>
        <w:rPr>
          <w:b/>
        </w:rPr>
        <w:t>[Pages 13–15]</w:t>
      </w:r>
    </w:p>
    <w:p>
      <w:r>
        <w:t>"carries out plans for savings and reorganization" and that the "newspaper La Marseillaise [has been] chronically loss-making for several years."</w:t>
      </w:r>
    </w:p>
    <w:p>
      <w:r>
        <w:t>47. Finally, it appears that La Provence and the BFM PACA channels have a significant share of common advertisers, including major advertisers such as local authorities and similar entities in the area.</w:t>
      </w:r>
    </w:p>
    <w:p>
      <w:r>
        <w:t>48. Consequently, the new entity would have the capacity, thanks to its positions in the PQR markets in the broadcast area of La Provence, its economic power, and a significant base of common advertisers to rely on, to implement a coupling strategy for its advertising space offers between La Provence and the BFM PACA channels.</w:t>
      </w:r>
    </w:p>
    <w:p>
      <w:r>
        <w:t>49. Secondly, the new entity would have an incentive to implement such a strategy. Indeed, the economically fragile situation of La Provence's competitors could encourage the new entity to seek to deprive them of a portion of their advertising revenues. It cannot be excluded that the implementation of such coupling could be financially profitable in the long term. Indeed, while it could initially lead to losses in the sale of advertising space on the BFM PACA channels, it could, in a second phase, after capturing the market shares currently held by La Provence's competitors, generate revenues exceeding the losses. In fact, in 2023, the combined sale of advertising space from La Provence and BFM PACA generated a total of approximately […] million euros (of which […] million euros were from television advertising sales on the BFM PACA channels). However, the total size of the advertising space market for PQR newspapers in the broadcast area of La Provence amounts to […] million euros (of which approximately […] million euros in revenues are currently captured by La Provence's competitors).</w:t>
      </w:r>
    </w:p>
    <w:p>
      <w:r>
        <w:t>50. Furthermore, the economic rationale for the operation includes the implementation of specific revenue synergies related to the concentration concerning La Provence and the BFM PACA channels.</w:t>
      </w:r>
    </w:p>
    <w:p>
      <w:r>
        <w:t>51. Thirdly, such a strategy would significantly affect the PQR markets in the concerned area. Indeed, considering the same elements already presented above, it cannot be excluded that the implementation of such leverage could lead La Provence's competing newspapers to cease their activities. As a result, local PQR readers and advertisers in the area would find themselves deprived of alternative offers to La Provence.</w:t>
      </w:r>
    </w:p>
    <w:p>
      <w:r>
        <w:t>52. It follows from the above that a risk of harm to competition in the PQR markets through conglomerate effects cannot be excluded.</w:t>
      </w:r>
    </w:p>
    <w:p>
      <w:r>
        <w:t>53. However, the notifying party has presented commitments, analyzed in Section V of this decision, to remedy such a risk, which are likely to dispel any serious doubts about harm to competition in these markets.</w:t>
      </w:r>
    </w:p>
    <w:p>
      <w:r>
        <w:t>IV. Analysis of the Risk Related to a Pre-existing Minority Stake in a Competing Company and the Present Concentration Operation</w:t>
      </w:r>
    </w:p>
    <w:p>
      <w:r>
        <w:t>54. In certain cases, when the target company is active in the same market or a market related to the company in which the acquirer holds a stake, the existence of a pre-existing minority stake prior to a concentration may lead to coordination of the competitive behaviors of these companies, or even unilateral effects when the stake in a third party is likely to result in the transmission of sensitive information.</w:t>
      </w:r>
    </w:p>
    <w:p>
      <w:r>
        <w:t>55. In this case, CMA CGM holds a minority stake of 10.27% in the company Métropole Télévision (M6 group), which is active in the television advertising sector, alongside Altice Media.</w:t>
      </w:r>
    </w:p>
    <w:p>
      <w:r>
        <w:t>56. This capital stake does not, in itself, grant CMA CGM rights to information exceeding the level of public information, particularly because Métropole Télévision is a company listed on the regulated market Euronext Paris.</w:t>
      </w:r>
    </w:p>
    <w:p>
      <w:r>
        <w:t>57. The notifying party has also specified that its stake does not grant CMA CGM decisive influence over collective decision-making, as it only has a limited right to propose resolutions for general meetings, as provided for in Article L. 225-105 of the Commercial Code for any shareholder whose stake represents at least 5% of the capital.</w:t>
      </w:r>
    </w:p>
    <w:p>
      <w:r>
        <w:t>58. Nevertheless, CMA CGM has rights and prerogatives that go beyond its capital stake, related to its representation on the supervisory board of Métropole Télévision, particularly access to commercially sensitive information.</w:t>
      </w:r>
    </w:p>
    <w:p>
      <w:r>
        <w:t>59. This presence on the supervisory board could strengthen the position of the new entity by allowing it to use strategic information from a competitor to gain a competitive advantage or to coordinate their behaviors.</w:t>
      </w:r>
    </w:p>
    <w:p>
      <w:r>
        <w:t>60. In this case, any risk arising from the representation of the CMA CGM group on the supervisory board of Métropole Télévision can, however, be ruled out as the terms of this representation are such that no commercially sensitive information can be communicated to it, thus eliminating any competitive concerns.</w:t>
      </w:r>
    </w:p>
    <w:p>
      <w:r>
        <w:t>61. Firstly, the notifying party stated during the investigation that "following the Operation, Ms. Véronique Saadé will be replaced as CMA CGM Participation's representative on the supervisory board of Métropole Télévision by a qualified individual who will neither be an employee nor a corporate officer of a company in the CMA CGM group."</w:t>
      </w:r>
    </w:p>
    <w:p>
      <w:r>
        <w:t>62. Secondly, the representative of CMA CGM on the supervisory board is not only subject to a confidentiality obligation and a conflict of interest prohibition but also to a strict prohibition on any transmission of sensitive information to the CMA CGM group.</w:t>
      </w:r>
    </w:p>
    <w:p>
      <w:r>
        <w:t>63. On the one hand, it follows from the statements of the notifying party during the investigation that "in accordance with the internal regulations of the supervisory board of the Métropole Télévision group, every member of the supervisory board has the obligation to inform the supervisory board of any situation of conflict of interest, even potential, between their direct or indirect personal interest or the interest of the shareholder or group of shareholders they represent and that of the company or group, and to draw all consequences regarding the exercise of their mandate" and "[thus], as the case may be, [the representative of CMA CGM must either (i) refrain from attending the debate and participating in the vote on the corresponding resolution, or (ii) not attend the meetings of the board during the period in which they find themselves in a conflict of interest, or (iii) resign from their position as a member of the supervisory board. Otherwise, their liability could be engaged."</w:t>
      </w:r>
    </w:p>
    <w:p>
      <w:r>
        <w:t>64. On the other hand, the notifying party stated during the investigation of this case that it will prevent any transmission, to the CMA CGM group, within the meaning of competition law, of sensitive information regarding the financial, strategic, and commercial policy of Métropole Télévision, including business plans, financial results of the company, its perception of the audiovisual, radio, and digital sectors, the setting of strategic orientations, and future projects. In this regard, CMA CGM will impose a strict prohibition on this representative from transmitting such information obtained in the course of their representation on the supervisory board of the Métropole Télévision group.</w:t>
      </w:r>
    </w:p>
    <w:p>
      <w:r>
        <w:t>65. Consequently, as long as the terms described above are respected, any concern arising from the minority stake of the CMA CGM group in the capital of Métropole Télévision can be ruled out.</w:t>
      </w:r>
    </w:p>
    <w:p>
      <w:r>
        <w:t>66. The Authority will be attentive to the respect of these terms. Any exchange of information between competing companies due to this minority stake may be contrary to the provisions of Article L. 420-1 of the Commercial Code, and any inaccurate statement made during the investigation may be sanctioned on the basis of III of Article L. 430-8 of the same code.</w:t>
      </w:r>
    </w:p>
    <w:p>
      <w:r>
        <w:rPr>
          <w:b/>
        </w:rPr>
        <w:t>[Pages 16–18]</w:t>
      </w:r>
    </w:p>
    <w:p>
      <w:r>
        <w:t>V. The Commitments</w:t>
      </w:r>
    </w:p>
    <w:p>
      <w:r>
        <w:t>67. In order to remedy the identified risks of anti-competitive effects, CMA CGM submitted on June 17, 2024, a proposal for commitments described and analyzed in the developments that follow. The text of these commitments, attached as an annex, forms an integral part of this decision.</w:t>
      </w:r>
    </w:p>
    <w:p>
      <w:r>
        <w:t>A. THE PROPOSED COMMITMENTS</w:t>
      </w:r>
    </w:p>
    <w:p>
      <w:r>
        <w:t>68. Subscribed for a duration of five years, the commitments provide for the exclusion of any form of tying as well as a control mechanism.</w:t>
      </w:r>
    </w:p>
    <w:p>
      <w:r>
        <w:t>69. Firstly, the notifying party commits not to engage, directly or indirectly (with respect to advertisers, media agencies, or through third parties), in any form of tying (including in disguised forms, namely subordination or the granting of advantages and counter-benefits) between the sale of advertising spaces of La Provence, on the one hand, and the BFM PACA channels (local BFM channels whose broadcast area overlaps with that of La Provence), on the other hand. In the event that these sales are carried out by third parties, the notifying party commits to include in the relevant contracts (management or sub-management contracts) clauses preventing any tying between these same sales of advertising spaces ("commitment 2.1").</w:t>
      </w:r>
    </w:p>
    <w:p>
      <w:r>
        <w:t>70. Secondly, the notifying party commits, in the context of implementing commitment 2.1, to maintain its internal management selling the advertising spaces of its newspaper La Provence distinct and autonomous from the management ensuring the marketing of advertising spaces of the BFM PACA channels ("commitment 2.2").</w:t>
      </w:r>
    </w:p>
    <w:p>
      <w:r>
        <w:t>71. Indeed, the advertising management of La Provence will benefit from autonomous operational governance. It will be housed in a separate company, the commercial company Eurosud, which is under the control of La Provence. The company Eurosud will control the operational management defined and implemented by its general director. The latter will be appointed by La Provence and will not simultaneously, directly or indirectly, hold any other functions or responsibilities of any kind within another company of the CMA CGM group. The latter will make decisions regarding the company Eurosud and the activity of La Provence's management without influence from the CMA CGM group, except for a limited number of decisions provided for in clause 11 of the commitments (such as, for example, decisions relating to the adoption of substantial modifications to the business plan and annual operating budgets, investments or sales of unusual assets, appointments beyond a certain level of remuneration, etc.). Its employees are and will be directly employed and recruited by Eurosud and will not be able to hold positions for the BFM PACA management for one year, before or after exercising their functions for La Provence's management.</w:t>
      </w:r>
    </w:p>
    <w:p>
      <w:r>
        <w:t>72. The advertising management of La Provence will also benefit from commercial autonomy in negotiating the commercial conditions it grants to its advertising clients, media agencies, and partners and in carrying out its missions and will not share any non-public commercial information with the management of the BFM PACA channels. Certain support functions, provided for in clauses 15 and 16 (such as accounting/finance, debt collection, corporate communication, etc.), may nevertheless be pooled with other companies in the CMA CGM group.</w:t>
      </w:r>
    </w:p>
    <w:p>
      <w:r>
        <w:t>73. Thirdly, CMA CGM commits to train and raise awareness among the respective staff of the managements of La Provence and BFM PACA regarding the commitments.</w:t>
      </w:r>
    </w:p>
    <w:p>
      <w:r>
        <w:t>74. Finally, the monitoring of the implementation of these commitments will be ensured by an independent representative.</w:t>
      </w:r>
    </w:p>
    <w:p>
      <w:r>
        <w:t>B. ASSESSMENT OF THE PROPOSED COMMITMENTS</w:t>
      </w:r>
    </w:p>
    <w:p>
      <w:r>
        <w:t>75. The measures intended to remedy the competition infringements resulting from the notified operation must comply with the general criteria defined by decision-making practice and case law, in order to be deemed capable of ensuring sufficient competition.</w:t>
      </w:r>
    </w:p>
    <w:p>
      <w:r>
        <w:t>76. The Authority primarily seeks structural measures to remedy the risks of competition infringement. However, to the extent that a behavioral remedy appears more appropriate in this case to prevent the risks of competition infringements resulting from the operation, it is necessary to define such a remedy in a way that ensures its effectiveness and controllability.</w:t>
      </w:r>
    </w:p>
    <w:p>
      <w:r>
        <w:t>77. Furthermore, these remedies must be necessary and effective (i.e., they must effectively remedy the identified competition infringements and the effectiveness of the commitments must not depend on the diligence of the notifying party) and be proportionate (in particular, they should not aim to increase the level of competition existing in a market prior to the concentration operation). Their implementation must not raise doubts (which implies that they are drafted precisely, without ambiguity, and that the operational modalities for their realization are sufficiently detailed) and must be swift (competition is not preserved as long as they are not realized). Finally, they must be controllable (the notifying party must provide for a control mechanism, if necessary by proposing the appointment of an independent representative, allowing the Authority to ensure their effective realization).</w:t>
      </w:r>
    </w:p>
    <w:p>
      <w:r>
        <w:t>78. In this case, firstly, the commitments are of a behavioral nature and appear to be more appropriate than structural commitments to prevent the identified conglomerate risks mentioned in paragraphs 36 above and following, namely the implementation of tying during the sale of advertising spaces of La Provence and the BFM PACA channels whose broadcast area overlaps with that of La Provence, which could lead to the exclusion of competing PQR newspapers of La Provence.</w:t>
      </w:r>
    </w:p>
    <w:p>
      <w:r>
        <w:t>79. Secondly, under commitment 2.1, the notifying party prohibits itself from engaging in any offer tying between the sale of advertising spaces of La Provence, on the one hand, and the BFM PACA channels whose broadcast area overlaps with that of La Provence, on the other hand. Such a principle, complemented by the practical modalities provided for in commitments 2.2 and 2.3, notably providing for the maintenance of a distinct and commercially autonomous management of La Provence compared to the management of BFM PACA, effectively prevents the risk mentioned in paragraphs 36 above and following, of implementing a lock-in through a tying strategy.</w:t>
      </w:r>
    </w:p>
    <w:p>
      <w:r>
        <w:t>80. Furthermore, these commitments are proportionate as they aim solely to remedy the specifically identified risks resulting from the operation. Moreover, they provide for operational modalities framing their implementation and include an adequate control mechanism.</w:t>
      </w:r>
    </w:p>
    <w:p>
      <w:r>
        <w:t>81. Finally, these commitments will apply for a duration of five years, which appears sufficient to allow La Provence's competitors to adapt to the changes in market structure induced by the operation.</w:t>
      </w:r>
    </w:p>
    <w:p>
      <w:r>
        <w:t>82. Consequently, the Authority considers that the commitments proposed by CMA CGM are sufficient to alleviate the serious doubts regarding competition arising from the operation.</w:t>
      </w:r>
    </w:p>
    <w:p>
      <w:r>
        <w:t>DECISION</w:t>
      </w:r>
    </w:p>
    <w:p>
      <w:r>
        <w:t>Sole Article: The operation notified under number 24-077 is authorized subject to the commitments described above and annexed to this decision.</w:t>
      </w:r>
    </w:p>
    <w:p>
      <w:r>
        <w:t>The President,</w:t>
        <w:br/>
        <w:t>Benoît Cœuré</w:t>
        <w:br/>
        <w:t>© Competition Authority</w:t>
      </w:r>
    </w:p>
    <w:p>
      <w:r>
        <w:rPr>
          <w:b/>
        </w:rPr>
        <w:t>[Pages 19–20]</w:t>
      </w:r>
    </w:p>
    <w:p>
      <w:r>
        <w:t>2.2. Commitment to Separate Management</w:t>
      </w:r>
    </w:p>
    <w:p>
      <w:r>
        <w:t>8. CMA CGM commits, to ensure the proper implementation of the commitment described in point 2.1 above, that the management responsible for marketing the advertising spaces of La Provence will be ensured autonomously by the company Eurosud ("Eurosud"), which is distinct from the company or companies that market the advertising spaces of the BFM PACA Channels.</w:t>
      </w:r>
    </w:p>
    <w:p>
      <w:r>
        <w:t>2.2.1 Governance</w:t>
      </w:r>
    </w:p>
    <w:p>
      <w:r>
        <w:t>9. Eurosud is a commercial company under the control of La Provence, which controls the operational management defined and implemented by the general manager of Eurosud. The general manager of Eurosud is appointed by La Provence. CMA CGM commits that he will not simultaneously exercise, directly or indirectly, any other functions or responsibilities of any nature within another company of the CMA CGM group.</w:t>
      </w:r>
    </w:p>
    <w:p>
      <w:r>
        <w:t>10. The general manager of Eurosud will define and implement the operational management of Eurosud's commercial missions as defined in point 2.2.2 below.</w:t>
      </w:r>
    </w:p>
    <w:p>
      <w:r>
        <w:t>11. The general manager of Eurosud may only make the following decisions after obtaining the prior agreement of La Provence or any other company of the CMA CGM group, except for the company or companies that market the advertising spaces of the BFM PACA Channels:</w:t>
        <w:br/>
        <w:t>(i) adoption of substantial modifications to the business plan and annual operating budgets</w:t>
        <w:br/>
        <w:t>(ii) investments, in one or more instances, exceeding a total of €50,000 in the relevant fiscal year and not provided for in the current annual budget;</w:t>
        <w:br/>
        <w:t>(iii) sale of assets with a book or market value exceeding €50,000 in the relevant fiscal year</w:t>
        <w:br/>
        <w:t>(iv) appointment, dismissal, and modification of the remuneration (excluding overall salary increases) of any employee, consultant, or director whose gross annual remuneration exceeds [...] €;</w:t>
        <w:br/>
        <w:t>(v) signing, modification, or termination of any advertising management or sub-management contract.</w:t>
      </w:r>
    </w:p>
    <w:p>
      <w:r>
        <w:t>12. Employees of Eurosud are directly employed by it. Future employees of Eurosud will be directly recruited by it. They may not have held, in the calendar year preceding the signing of their employment contract, any functions of any nature within the company or companies that market the advertising spaces of the BFM PACA Channels. This prohibition will continue during the execution of their employment contract and for one (1) calendar year after its termination.</w:t>
      </w:r>
    </w:p>
    <w:p>
      <w:r>
        <w:t>3.3. Replacement, Discharge, and Renewal of the Appointment of the Mandatary</w:t>
      </w:r>
    </w:p>
    <w:p>
      <w:r>
        <w:t>40. If the Mandatary ceases to perform his duties under the Commitments or for any other legitimate reason, including for reasons of conflict of interest of the Mandatary:</w:t>
        <w:br/>
        <w:t>(a) the Authority may, after hearing the Mandatary, require CMA CGM to replace the Mandatary; or</w:t>
        <w:br/>
        <w:t>(b) CMA CGM may, with the prior authorization of the Authority, replace the Mandatary in question.</w:t>
      </w:r>
    </w:p>
    <w:p>
      <w:r>
        <w:t>41. The revoked Mandatary may be required to continue to perform his duties until a new Mandatary, to whom the revoked Mandatary has transferred all relevant information and documents, is in office. The new Mandatary will be appointed according to the procedure mentioned in Article 3.1.</w:t>
      </w:r>
    </w:p>
    <w:p>
      <w:r>
        <w:t>42. Apart from the case of revocation as defined in this article, the Mandatary may only cease to act as Mandatary after the Authority has discharged him from his duties, after the completion of all the Commitments for which the Mandatary in question is responsible. However, the Authority may at any time request that the Mandatary in charge of oversight be reappointed if it believes that the relevant Commitments have not been fully or correctly implemented.</w:t>
      </w:r>
    </w:p>
    <w:p>
      <w:r>
        <w:t>4. TERM OF THE COMMITMENTS AND REVIEW</w:t>
      </w:r>
    </w:p>
    <w:p>
      <w:r>
        <w:t>43. These Commitments will be implemented from the notification of the Decision to CMA CGM, except for the Commitment stipulated in point 2.2.3, which will be implemented within four months.</w:t>
      </w:r>
    </w:p>
    <w:p>
      <w:r>
        <w:t>44. The Commitments are made for a duration of five years from the date of the Decision.</w:t>
      </w:r>
    </w:p>
    <w:p>
      <w:r>
        <w:t>45. The Authority may, if necessary and in response to a written request from CMA CGM outlining legitimate reasons, lift, modify, or replace one or more Commitments if the legal or factual circumstances considered during the review of the Operation were to change significantly to the point of questioning the competitive analysis in the relevant markets and thus the necessity of the Commitments.</w:t>
      </w:r>
    </w:p>
    <w:p>
      <w:r>
        <w:t>46. Among the new or exceptional circumstances that, at the request of CMA CGM, may be examined on a case-by-case basis by the Authority to assess, after hearing CMA CGM, the relevance of a possible request for lifting, modification, or replacement of one or more Commitments, is notably any evolution of the competitive structure of the markets concerned by the Commitment.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