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https://www.autoritedelaconcurrence.fr/fr/decision-de-controle-des-concentrations/relative-la-prise-de-controle-exclusif-de-la-societe-amg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17-DCC-176 of October 24, 2017  </w:t>
        <w:br/>
        <w:t xml:space="preserve">regarding the acquisition of exclusive control  </w:t>
        <w:br/>
        <w:t xml:space="preserve">of the company AMG Développement by the company MDA Company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21, 2017, concerning the acquisition of exclusive control of the company AMG Développement  </w:t>
        <w:br/>
        <w:t xml:space="preserve">by the company MDA Company, formalized by an acquisition protocol signed on August 2 and  </w:t>
        <w:br/>
        <w:t xml:space="preserve">3, 2017;  </w:t>
        <w:br/>
        <w:t xml:space="preserve">Having regard to Book IV of the Commercial Code relating to the freedom of prices and competition, and  </w:t>
        <w:br/>
        <w:t xml:space="preserve">notably its Articles L. 430-1 to L. 430-10;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acquisition of exclusive control by the company MDA Company of  </w:t>
        <w:br/>
        <w:t xml:space="preserve">the company AMG Développement, at the head of the GPdis group. The parties are active in the  </w:t>
        <w:br/>
        <w:t xml:space="preserve">markets for household appliances. The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On  </w:t>
        <w:br/>
        <w:t xml:space="preserve">the other hand, the retail control thresholds mentioned in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The markets concerned by the operation involve the supply, wholesale distribution,  </w:t>
        <w:br/>
        <w:t xml:space="preserve">and retail distribution of household appliances. These markets have been defined by  </w:t>
        <w:br/>
        <w:t xml:space="preserve">the Competition Authority, which took into account a recent evolution of its decision-making practice  </w:t>
        <w:br/>
        <w:t xml:space="preserve">regarding the retail distribution markets for brown goods and grey goods.  </w:t>
        <w:br/>
        <w:t xml:space="preserve">3. Regardless of the segmentations retained, the estimated market shares of the parties are  </w:t>
        <w:br/>
        <w:t xml:space="preserve">below 20%.  </w:t>
        <w:br/>
        <w:t xml:space="preserve">1 Decision No. 16-DCC-111 of the Competition Authority of July 27, 2016, regarding the acquisition of exclusive control  </w:t>
        <w:br/>
        <w:t>of Darty by Fnac.</w:t>
      </w:r>
    </w:p>
    <w:p>
      <w:r>
        <w:t xml:space="preserve">4. Considering the elements of the file and in accordance with point 384 of the guidelines of  </w:t>
        <w:br/>
        <w:t xml:space="preserve">the Competition Authority regarding the control of concentrations, the operation is not  </w:t>
        <w:br/>
        <w:t xml:space="preserve">likely to harm competition.  </w:t>
        <w:br/>
        <w:t xml:space="preserve">DECIDES  </w:t>
        <w:br/>
        <w:t xml:space="preserve">Sole Article: The operation notified under number 17-192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