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https://www.autoritedelaconcurrence.fr/fr/decision-de-controle-des-concentrations/relative-la-prise-de-controle-exclusif-de-la-societe-andre</w:t>
      </w:r>
    </w:p>
    <w:p>
      <w:r>
        <w:t>Pages translated : 8</w:t>
      </w:r>
    </w:p>
    <w:p/>
    <w:p>
      <w:r>
        <w:rPr>
          <w:b/>
        </w:rPr>
        <w:t>[Pages 1–3]</w:t>
      </w:r>
    </w:p>
    <w:p>
      <w:r>
        <w:t xml:space="preserve">FRENCH REPUBLIC  </w:t>
        <w:br/>
        <w:t xml:space="preserve">Decision No. 18-DCC-53 of April 20, 2018  </w:t>
        <w:br/>
        <w:t>regarding the exclusive control of the company André by the company Spartoo</w:t>
      </w:r>
    </w:p>
    <w:p>
      <w:r>
        <w:t xml:space="preserve">The Competition Authority,  </w:t>
        <w:br/>
        <w:t xml:space="preserve">Having regard to the notification file submitted in full to the merger service on April 4, 2018, regarding the exclusive control of the company André by the company Spartoo, formalized by a firm offer signed on December 22, 2017;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Spartoo is active in the retail sale of shoes, clothing, and leather goods, via its websites spartoo.com and shoes.fr, as well as 12 stores located in medium-sized cities in metropolitan territory.  </w:t>
        <w:br/>
        <w:t xml:space="preserve">2. The company André, a 100% subsidiary of the Vivarte group, ultimately owned by Novartex Holding Luxembourg S.C.A., is active in the retail sale of shoes and leather goods, primarily through 149 points of sale across the metropolitan territory, but also via its website andre.fr.  </w:t>
        <w:br/>
        <w:t xml:space="preserve">3. The operation, formalized by a firm offer dated December 22, 2017, is to be carried out after the creation of the company TooAndré through a partial asset contribution, followed by the acquisition of 100% of the shares of TooAndré by the company Spartoo. Insofar as it consists of the exclusive control of André by Spartoo, the operation constitutes a concentration operation within the meaning of Article L. 430-1 of the Commercial Code.  </w:t>
        <w:br/>
        <w:t>4. The concerned companies together achieve a total turnover excluding taxes on a global scale of more than […] million euros (Spartoo: […] million euros for the fiscal year ending December 31, 2016; André: […] million euros for the fiscal year ending August 31, 2016).</w:t>
      </w:r>
    </w:p>
    <w:p>
      <w:r>
        <w:t>Each of these companies achieved a turnover in France exceeding […] million euros (Spartoo: […] million euros for the fiscal year ending December 31, 2016; André: […] million euros for the fiscal year ending August 31, 2016).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5. The parties are simultaneously active in the sectors of retail distribution of non-food products (shoes and leather goods). In each of these sectors, two categories of markets are distinguished: the upstream markets for the supply of retail companies from manufacturers (A) and the downstream markets, which bring together retail companies and final consumers (B).</w:t>
      </w:r>
    </w:p>
    <w:p>
      <w:r>
        <w:t xml:space="preserve">A. UPSTREAM SUPPLY MARKETS  </w:t>
        <w:br/>
        <w:t xml:space="preserve">6. Regarding the definition of product markets, the decision-making practice of competition authorities considers that producers supplying distributors cannot easily switch to manufacturing other products than their own. It thus distinguishes as many markets as there are product families.  </w:t>
        <w:br/>
        <w:t xml:space="preserve">7. In the present case, the products purchased simultaneously by the parties from their suppliers are shoes and leather goods. The parties consider that these products form two distinct product families.  </w:t>
        <w:br/>
        <w:t xml:space="preserve">8. Regarding the definition of geographical markets, the decision-making practice of competition authorities considers that the markets for the supply of shoes and leather goods are generally of a global dimension.  </w:t>
        <w:br/>
        <w:t>9. In any case, the question of the exact definition of the upstream supply markets for new non-food products can be left open insofar as the conclusions of the competitive analysis remain unchanged, regardless of the segmentations retained.</w:t>
      </w:r>
    </w:p>
    <w:p>
      <w:r>
        <w:t xml:space="preserve">1 Decisions of the Competition Authority No. 18-DCC-01 of January 10, 2018, regarding the acquisition of exclusive control of the company La Redoute by the company Motier (Galeries Lafayette group), No. 17-DCC-39 of April 4, 2017, regarding the acquisition of exclusive control of the companies Livelle and 3 Suisses Belgium by Domoti SAS, No. 16-DCC-75 of May 23, 2016, regarding the acquisition of the company Becquet SAS by Domoti SAS, No. 15-DCC-101 of July 30, 2015, regarding the exclusive control of GrosBill SA by Mutares AG, No. 14-DCC-28 of March 5, 2014, regarding the exclusive control of the company Mistergooddeal SA by the Darty group, No. 10-DCC-77 of July 9, 2010, regarding the control of the company Afibel SAS by Damartex SA, No. 10-DCC-42 of May 25, 2010, regarding the acquisition by 3 Suisses International SA of certain assets of the company La Source, and decision of the European Commission COMP/M.5721 – Otto/Primondo Assets of February 16, 2010.  </w:t>
        <w:br/>
        <w:t>2 Decisions No. 18-DCC-01, No. 17-DCC-39, No. 16-DCC-75, No. 15-DCC-101, No. 14-DCC-28, No. 10-DCC-77, No. 10-DCC-42, COMP/M.5721 mentioned above, and letters from the Minister of Economy, Finance and Industry C2008-16, to the advisors of the company Vivarte, regarding a concentration in the sports clothing and footwear sector, C2008-04, to the advisors of the company Vivarte, regarding a concentration in the retail distribution of clothing and footwear.</w:t>
      </w:r>
    </w:p>
    <w:p>
      <w:r>
        <w:t xml:space="preserve">B. DOWNSTREAM DISTRIBUTION MARKETS  </w:t>
        <w:br/>
        <w:t xml:space="preserve">1. PRODUCT MARKETS  </w:t>
        <w:br/>
        <w:t xml:space="preserve">a) Distinction by product category  </w:t>
        <w:br/>
        <w:t xml:space="preserve">10. Regarding the retail distribution of non-food products, competition authorities distinguish as many markets as there are product families. Indeed, within each of the markets thus defined, competition varies significantly due to the degree of specialization of a significant number of players in one or more product families.  </w:t>
        <w:br/>
        <w:t xml:space="preserve">11. In the present case, the overlaps in the activities of the parties mainly concern shoes and leather goods.  </w:t>
        <w:br/>
        <w:t xml:space="preserve">12. Regarding the retail distribution market for shoes, the decision-making practice of the Competition Authority has segmented the market according to the age or gender of the final consumer (man, woman, child), and the use of the shoes (indoor shoes, outdoor shoes). Within the segment of outdoor shoes, the Competition Authority has also considered distinguishing between city shoes and sports shoes.  </w:t>
        <w:br/>
        <w:t xml:space="preserve">13. Regarding the retail distribution market for leather goods, the decision-making practice of competition authorities has considered that these products constitute a segment of the clothing and ready-to-wear market.  </w:t>
        <w:br/>
        <w:t>14. In any case, the exact definition of these markets by product category can be left open, insofar as the conclusions of the competitive analysis remain unchanged, regardless of the segmentations retained.</w:t>
      </w:r>
    </w:p>
    <w:p>
      <w:r>
        <w:t xml:space="preserve">b) Distinction by distribution channel  </w:t>
        <w:br/>
        <w:t xml:space="preserve">15. The Competition Authority has recently questioned the relevance of analyzing a concentration operation in the retail sector across two distinct distribution channels (distance selling or "VAD", on the one hand, and sales in physical stores, on the other hand) or on a global market that includes both distribution channels.  </w:t>
        <w:br/>
        <w:t>16. In its opinion regarding the functioning of e-commerce, the Competition Authority noted that traditional retail brands adapt their strategies...</w:t>
      </w:r>
    </w:p>
    <w:p>
      <w:r>
        <w:rPr>
          <w:b/>
        </w:rPr>
        <w:t>[Pages 4–6]</w:t>
      </w:r>
    </w:p>
    <w:p>
      <w:r>
        <w:t>commercial strategies to account for the growth of online sales by adopting a "multichannel" distribution model that combines a network of physical stores and an online sales site. According to this model, they can create their own website where they offer products in addition to those sold in stores ("click &amp; mortar"), or they can create sites that develop their activities exclusively online ("pure player").</w:t>
      </w:r>
    </w:p>
    <w:p>
      <w:r>
        <w:t>17. The Competition Authority has, however, noted, depending on the products concerned, the persistence of significant differences between mail-order sales and sales in physical stores, particularly in the way the players in these two distribution channels communicate and acquire customers. Thus, from the consumer's perspective, purchasing in-store generally offers the possibility to inspect the desired product and, if necessary, to benefit from the advice of a specialized salesperson. Moreover, the items presented are, most of the time, available immediately. In contrast, mail-order sales allow purchases to be made at any time of the day and week, without the need to travel. The European Commission has thus concluded that each distribution channel presents various advantages and disadvantages and meets different needs of consumers. To date, it considers that these two distribution channels are more complementary than substitutable.</w:t>
      </w:r>
    </w:p>
    <w:p>
      <w:r>
        <w:t>18. In its decision regarding the acquisition of Darty by Fnac, the Competition Authority estimated that, concerning the retail distribution of brown and gray products, these differences tend to significantly reduce as the brands present in both distribution channels adopt an "omnichannel" policy. It also found that the internet has been integrated into the purchasing behavior of French consumers. The Competition Authority thus concluded, following a thorough examination of the operation, that the markets for the retail distribution of brown and gray products now include both in-store sales and distance sales in metropolitan France.</w:t>
      </w:r>
    </w:p>
    <w:p>
      <w:r>
        <w:t>19. Furthermore, regarding the physical store sales channel, the decision-making practice of the Authority has segmented between store formats, distinguishing specialized stores from large and medium-sized stores.</w:t>
      </w:r>
    </w:p>
    <w:p>
      <w:r>
        <w:t>20. In this case, the analysis will be conducted at the level of each product category, across all distribution channels (in-store sales and mail-order sales), but also on distinct channels of mail-order sales and physical store distribution.</w:t>
      </w:r>
    </w:p>
    <w:p>
      <w:r>
        <w:t>2. GEOGRAPHICAL MARKETS</w:t>
      </w:r>
    </w:p>
    <w:p>
      <w:r>
        <w:t>21. Regarding the segment of mail-order sales of non-food products, the decision-making practice of competition authorities retains a national delimitation, due to linguistic differences and the heterogeneity of consumer habits within the European Union, as well as the homogeneity of costs and delivery times at the national level.</w:t>
      </w:r>
    </w:p>
    <w:p>
      <w:r>
        <w:t>22. However, regarding the physical store sales of shoes and leather goods, the decision-making practice of the Competition Authority considers that the analysis should be conducted on catchment areas at the local level. It has estimated that, for this type of purchase, consumers are willing to make a car trip of about 20 minutes to reach a store.</w:t>
      </w:r>
    </w:p>
    <w:p>
      <w:r>
        <w:t>23. Therefore, analyzing the operation in a global market, including both distribution channels (mail-order and in-store), raises the question of its geographical dimension (national or local). In its aforementioned Fnac/Darty decision, the Competition Authority conducted its competitive analysis at both the national and local levels. It notably pointed out that the analysis of "online offerings does not imply overlooking the differences in local situations that may be available to the consumer depending on the catchment area in which they are located. Indeed, while the minority of purchases made online in the sector can be made from anywhere in the national territory, the vast majority of sales are made in-store and result from a consumer choice made particularly based on the alternatives that are geographically accessible to them. The existence of local competitive parameters shows that, among the alternatives between which the consumer chooses, local offers are likely to respond to commercial and pricing logics specific to the competitive situation."</w:t>
      </w:r>
    </w:p>
    <w:p>
      <w:r>
        <w:t>24. In this case, the analysis will be conducted at both the national and local levels, in the catchment areas of the parties' points of sale.</w:t>
      </w:r>
    </w:p>
    <w:p>
      <w:r>
        <w:t>25. The question of the exact definition of the markets for the retail distribution of new non-food products, in terms of both product and geographical markets, may, however, be left open as long as the conclusions of the competitive analysis remain unchanged, regardless of the delimitations retained.</w:t>
      </w:r>
    </w:p>
    <w:p>
      <w:r>
        <w:t>III. Competitive Analysis</w:t>
      </w:r>
    </w:p>
    <w:p>
      <w:r>
        <w:t>A. UPSTREAM SUPPLY MARKETS</w:t>
      </w:r>
    </w:p>
    <w:p>
      <w:r>
        <w:t>26. Regarding the supply of shoes and leather goods, it emerges from the investigation that the combined market shares of the parties represent less than 1%, regardless of the segmentation retained.</w:t>
      </w:r>
    </w:p>
    <w:p>
      <w:r>
        <w:t>27. Therefore, the operation is not likely to harm competition in the upstream supply markets for shoes and leather goods.</w:t>
      </w:r>
    </w:p>
    <w:p>
      <w:r>
        <w:t>B. DOWNSTREAM DISTRIBUTION MARKETS</w:t>
      </w:r>
    </w:p>
    <w:p>
      <w:r>
        <w:t>1. RETAIL DISTRIBUTION OF SHOES</w:t>
      </w:r>
    </w:p>
    <w:p>
      <w:r>
        <w:t>28. At the national level, the combined market shares of the parties are consistently below 10%, regardless of the segments and distribution channel (mail-order and overall) analyzed.</w:t>
      </w:r>
    </w:p>
    <w:p>
      <w:r>
        <w:t>Market shares in the mail-order channel</w:t>
        <w:br/>
        <w:t>Market share of Market share of Combined market shares</w:t>
        <w:br/>
        <w:t>Spartoo André of the parties</w:t>
        <w:br/>
        <w:t>Mail-order shoe distribution (0-5)% (0-5)% (0-5)%</w:t>
        <w:br/>
        <w:t>Men's shoe distribution (5-10)% (0-5)% (5-10)%</w:t>
        <w:br/>
        <w:t>Women's shoe distribution (0-5)% (0-5)% (0-5)%</w:t>
        <w:br/>
        <w:t>Children's shoe distribution (0-5)% (0-5)% (0-5)%</w:t>
        <w:br/>
        <w:t>Indoor shoe distribution - - -</w:t>
        <w:br/>
        <w:t>Outdoor shoe distribution (0-5)% (0-5)% (5-10)%</w:t>
        <w:br/>
        <w:t>City shoe distribution (5-10)% (5-10)% (5-10)%</w:t>
        <w:br/>
        <w:t>Sports shoe distribution (0-5)% - (0-5)%</w:t>
      </w:r>
    </w:p>
    <w:p>
      <w:r>
        <w:t>Market shares across all channels</w:t>
        <w:br/>
        <w:t>Market share of Market share of Combined market shares</w:t>
        <w:br/>
        <w:t>Spartoo André of the parties</w:t>
        <w:br/>
        <w:t>All channels shoe distribution (0-5)% (0-5)% (0-5)%</w:t>
        <w:br/>
        <w:t>Men's shoe distribution (0-5)% (0-5)% (0-5)%</w:t>
        <w:br/>
        <w:t>Women's shoe distribution (0-5)% (0-5)% (0-5)%</w:t>
        <w:br/>
        <w:t>Children's shoe distribution (0-5)% (0-5)% (0-5)%</w:t>
        <w:br/>
        <w:t>Indoor shoe distribution - - -</w:t>
        <w:br/>
        <w:t>Outdoor shoe distribution (0-5)% (0-5)% (0-5)%</w:t>
        <w:br/>
        <w:t>City shoe distribution (0-5)% (0-5)% (0-5)%</w:t>
        <w:br/>
        <w:t>Sports shoe distribution (0-5)% - (0-5)%</w:t>
      </w:r>
    </w:p>
    <w:p>
      <w:r>
        <w:t>29. At the local level, the combined market shares of the parties are below 25%, regardless of the segmentations examined. In the 12 catchment areas of Spartoo stores, the new entity will also hold less than 20% of specialized shoe distribution stores.</w:t>
      </w:r>
    </w:p>
    <w:p>
      <w:r>
        <w:t>30. This operation is not likely to lead to horizontal effects in these local markets.</w:t>
      </w:r>
    </w:p>
    <w:p>
      <w:r>
        <w:t>31. On the one hand, regarding retail distribution markets, the Competition Authority generally considers that the market share threshold at which horizontal effects are likely to occur is 50%.</w:t>
      </w:r>
    </w:p>
    <w:p>
      <w:r>
        <w:t>32. On the other hand, the overlap of activities between the parties resulting from the operation is very limited since Spartoo's activity in physical store shoe distribution is limited.</w:t>
      </w:r>
    </w:p>
    <w:p>
      <w:r>
        <w:rPr>
          <w:b/>
        </w:rPr>
        <w:t>[Pages 7–8]</w:t>
      </w:r>
    </w:p>
    <w:p>
      <w:r>
        <w:t>33. More generally, regardless of the distribution channel examined, the new entity will face competition from significant national distributors: Décathlon, Eram, La Halle, San Marina, for retail distribution in physical stores, and Zalando or Sarenza, in terms of mail-order sales. Furthermore, the Competition Authority notes that the acquisition of the company Sarenza by the company Monoprix (Casino group), authorized by a decision concurrent with the present one, will grant this competitor a status equivalent to that of the new entity which will be simultaneously active in these two distribution channels.</w:t>
      </w:r>
    </w:p>
    <w:p>
      <w:r>
        <w:t>34. In light of the above, the operation is not likely to harm competition in the retail distribution markets for shoes.</w:t>
      </w:r>
    </w:p>
    <w:p>
      <w:r>
        <w:t>2. RETAIL DISTRIBUTION OF LEATHER GOODS</w:t>
      </w:r>
    </w:p>
    <w:p>
      <w:r>
        <w:t>35. At the national level, the combined market shares of the parties are below 6%, regardless of the sales channel considered.</w:t>
      </w:r>
    </w:p>
    <w:p>
      <w:r>
        <w:t>Market Shares</w:t>
        <w:br/>
        <w:t>Combined market shares of the parties Mail-order sales All channels combined</w:t>
        <w:br/>
        <w:t>Distribution of leather goods (5-10)% (0-5)%</w:t>
      </w:r>
    </w:p>
    <w:p>
      <w:r>
        <w:t>36. At the local level, the combined market shares of the parties remain below 25%, regardless of the examined segmentations.</w:t>
      </w:r>
    </w:p>
    <w:p>
      <w:r>
        <w:t>37. Therefore, the operation is not likely to harm competition in the retail distribution markets for leather goods.</w:t>
      </w:r>
    </w:p>
    <w:p>
      <w:r>
        <w:t>18 Decision No. 18-DCC-50 of April 20, 2018, regarding the exclusive control of the company Sarenza SA by the company Monoprix SAS (Casino group).</w:t>
      </w:r>
    </w:p>
    <w:p>
      <w:r>
        <w:t>19 Combination of an online sales specialist with a physical distributor.</w:t>
      </w:r>
    </w:p>
    <w:p>
      <w:r>
        <w:t>DECIDES</w:t>
      </w:r>
    </w:p>
    <w:p>
      <w:r>
        <w:t>Single Article: The operation notified under number 17-283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