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https://www.autoritedelaconcurrence.fr/fr/decision-de-controle-des-concentrations/relative-la-prise-de-controle-exclusif-de-la-societe-anibal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12-DCC-85 of June 15, 2012  </w:t>
        <w:br/>
        <w:t xml:space="preserve">regarding the exclusive control acquisition of the company Anibal  </w:t>
        <w:br/>
        <w:t>by the company ITM Alimentaire Sud Est</w:t>
      </w:r>
    </w:p>
    <w:p>
      <w:r>
        <w:t>The Competition Authority,</w:t>
      </w:r>
    </w:p>
    <w:p>
      <w:r>
        <w:t xml:space="preserve">Having regard to the complete notification file submitted to the mergers department on May 10, 2012,  </w:t>
        <w:br/>
        <w:t>concerning the exclusive control acquisition of the company Anibal by the company ITM Alimentaire Sud Est, materialized by an exercise of a purchase option dated December 26, 2011;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Adopts the following decision:</w:t>
      </w:r>
    </w:p>
    <w:p>
      <w:r>
        <w:t>1. The notified operation consists of the exclusive control acquisition of the company Anibal, operating a predominantly food distribution business, under the brand Intermarché, with a surface area of 3,200 m² and located in the city of Nîmes (30), by the company ITM Alimentaire Sud Est.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The present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12-078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