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https://www.autoritedelaconcurrence.fr/fr/decision-de-controle-des-concentrations/relative-la-prise-de-controle-exclusif-de-la-societe-anvil</w:t>
      </w:r>
    </w:p>
    <w:p>
      <w:r>
        <w:t>Pages translated : 5</w:t>
      </w:r>
    </w:p>
    <w:p/>
    <w:p>
      <w:r>
        <w:rPr>
          <w:b/>
        </w:rPr>
        <w:t>[Pages 1–3]</w:t>
      </w:r>
    </w:p>
    <w:p>
      <w:r>
        <w:t xml:space="preserve">FRENCH REPUBLIC  </w:t>
        <w:br/>
        <w:t xml:space="preserve">Decision No. 13-DCC-24 of March 1, 2013  </w:t>
        <w:br/>
        <w:t xml:space="preserve">regarding the exclusive control of Anvil Finance  </w:t>
        <w:br/>
        <w:t>by the Charles André Group</w:t>
      </w:r>
    </w:p>
    <w:p>
      <w:r>
        <w:t xml:space="preserve">The Competition Authority,  </w:t>
        <w:br/>
        <w:t xml:space="preserve">Having regard to the notification file submitted in full to the merger service on January 25, 2013, regarding the exclusive control of Anvil Finance by the Charles André Group, formalized by a share acquisition agreement dated November 29, 2012;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Charles André SAS is the parent company of a group of subsidiaries forming the Charles André Group (hereinafter "GCA"), wholly owned by Fimholog, a family holding company that does not hold any other controlling interests. GCA is active in the sectors of road transport and logistics of bulk products, intermodal transport organization, automotive logistics, interior washing of tankers, and hospitality-restoration. GCA operates in 15 countries in Europe and Morocco.  </w:t>
        <w:br/>
        <w:t xml:space="preserve">2. Anvil Finance (hereinafter "Anvil Finance") is a holding company with no operational activity, holding 100% of the capital of Walon France SAS, which is active in the automotive logistics sector through its subsidiaries Auto Logistique Services and Transports Moncassin SA. Walon France also holds 50% of the capital of Akidis SARL, with the remaining 50% held by STVA, which provides automotive logistics services exclusively for its parent companies within the Bordeaux catchment area.  </w:t>
        <w:br/>
        <w:t xml:space="preserve">3. On November 29, 2012, the parties entered into an acquisition agreement under which GCA undertakes to acquire the entirety of Anvil Finance's capital. As it results in the exclusive control of Anvil Finance by GCA, the notified operation constitutes a concentration operation within the meaning of Article L. 430-1 of the Commercial Code.  </w:t>
        <w:br/>
        <w:t>4. The companies concerned together achieve a total worldwide turnover of more than 150 million euros (GCA: 839.667 million euros for the fiscal year ending December 31, 2011, Anvil Finance: 97.42 million euros for the same fiscal year). Each achieves a turnover in France exceeding 50 million euros (GCA: 697.243 million euros for the fiscal year 2011, Anvil Finance: 91.45 million euros for the same fiscal year). Given these turnovers,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5. The parties are simultaneously active in the automotive logistics sector.  </w:t>
        <w:br/>
        <w:t xml:space="preserve">6. Furthermore, GCA is active in the markets for bulk product logistics and road transport. However, the notifying party emphasizes the absence of common clients in these different markets, as automotive logistics services target a specific category of clients (automobile manufacturers, car rental companies, etc.) who express their needs through calls for tenders and whose contracts generally last for 3 years. Moreover, the trucks used in road transport or logistics cannot be used for the transport of vehicles. Finally, regarding GCA's logistics activity, its specialization in so-called "bulk" products (petroleum, chemical, powdery products, etc.) transiting through specific storage platforms excludes any connection with the potential general logistics needs of its clients arising from automotive logistics activity.  </w:t>
        <w:br/>
        <w:t xml:space="preserve">7. In the absence of a connection between these different activities, only the automotive logistics sector will be analyzed.  </w:t>
        <w:br/>
        <w:t xml:space="preserve">8. Regarding product markets, automotive logistics services generally encompass all operations necessary to store, prepare, and transport vehicles from their production or unloading location to their final customer.  </w:t>
        <w:br/>
        <w:t xml:space="preserve">9. Community decision-making practice has considered the existence of a market for logistics services specific to motor vehicles ("Finished Vehicles Logistics") distinct from general logistics services. The Commission notes that automotive logistics services meet the particular needs of certain clients, such as automobile manufacturers, car rental companies, fleet managers, etc., for whom these services are not substitutable with other general logistics services. It also emphasizes that these automotive logistics services require from providers a specific know-how, specific material and human resources (mechanics, bodyworkers, etc.), including specialized platforms and storage yards of several hectares, as confirmed by the parties.  </w:t>
        <w:br/>
        <w:t xml:space="preserve">10. Within this market, the Commission considered, while leaving the question open, the distinction between logistics services dedicated to passenger vehicles and light commercial vehicles and those intended for trucks and other heavy industrial vehicles.  </w:t>
        <w:br/>
        <w:t xml:space="preserve">11. The Commission also considered a segmentation by type of service offered. Indeed, automotive logistics services include three types of services, which may or may not be offered as a package: (i) vehicle storage (temporary storage of vehicles on dedicated platforms) (ii) vehicle preparation before delivery to the final customer (performing aesthetic and transformation operations on vehicles present in storage yards) and (iii) transport of vehicles from the factory to the final customer.  </w:t>
        <w:br/>
        <w:t xml:space="preserve">12. The parties do not subscribe to this segmentation and argue that the vast majority of automotive logistics operators offer the three types of services that make up this market, with operators likely to offer exclusively a preparation service or a storage service being very few and of modest size.  </w:t>
        <w:br/>
        <w:t xml:space="preserve">13. Finally, the Commission considered segmenting automotive logistics services based on the mode of transport used for transporting vehicles (sea, road, or rail) while recognizing a partial substitutability between these different modes.  </w:t>
        <w:br/>
        <w:t xml:space="preserve">14. The target is primarily present in the market for logistics services dedicated to passenger vehicles and light commercial vehicles. It has a very marginal activity in the storage of used industrial vehicles.  </w:t>
        <w:br/>
        <w:t xml:space="preserve">15. In this case, the question of the precise delimitation of these different markets can, however, be left open as, regardless of the hypothesis retained, the conclusions of the competitive analysis will remain unchanged.  </w:t>
        <w:br/>
        <w:t xml:space="preserve">16. Regarding geographical markets, community decision-making practice considers that automotive logistics markets are of national or even European dimension while leaving the question open.  </w:t>
        <w:br/>
        <w:t>17. There is no reason to challenge this delimitation in the present decision. In this case, the analysis will be conducted at the national level.</w:t>
      </w:r>
    </w:p>
    <w:p>
      <w:r>
        <w:t xml:space="preserve">III. Competitive analysis  </w:t>
        <w:br/>
        <w:t xml:space="preserve">18. In the overall automotive logistics market, GCA's market share following the operation will be 11.5% (6.5% for GCA; 5% for Anvil Finance). GCA will continue to face competition from significant operators such as CAT, Gefco, or STVA (SNCF Group) which hold 18.9%, 17.5%, and 12.2% of the market, respectively.  </w:t>
        <w:br/>
        <w:t>19. In the event of a market limited to passenger and light commercial vehicles, the new entity will hold a market share of 13.8% (8.4% for GCA and 5.4% for Anvil Finance), a market where CAT and Gefco, formerly backed by automobile manufacturers and now independent, have significant positions (24.1% and 25.5%, respectively).</w:t>
      </w:r>
    </w:p>
    <w:p>
      <w:r>
        <w:rPr>
          <w:b/>
        </w:rPr>
        <w:t>[Pages 4–5]</w:t>
      </w:r>
    </w:p>
    <w:p>
      <w:r>
        <w:t>20. The analysis is not altered in the hypothesis of segmentation based on the services rendered, with the combined market shares of the acquirer and the target being around 11% regardless of the service considered.</w:t>
      </w:r>
    </w:p>
    <w:p>
      <w:r>
        <w:t>21. In view of the foregoing, the operation is not likely to harm competition through horizontal effects on the relevant markets.</w:t>
      </w:r>
    </w:p>
    <w:p>
      <w:r>
        <w:t>IV. Ancillary Restrictions</w:t>
      </w:r>
    </w:p>
    <w:p>
      <w:r>
        <w:t>22. Article 7 of the Share Acquisition Agreement provides that in consideration of the transfer of shares, the individual transferors undertake, from the day of its signing, and for a period of three years, not to hold, create, or have an interest directly or indirectly through any companies, groups, enterprises, or members of their family group or by any other means, in automotive logistics activities including, in particular, those of road transport of motor vehicles, either by their own means or as a transport operator, of renting industrial vehicles with or without a driver for the transport of motor vehicles, of storage, inventory management, handling, maintenance, repair, preparation of motor vehicles before their delivery, and this, throughout the entire metropolitan territory of France, under penalty of damages to GCA.</w:t>
      </w:r>
    </w:p>
    <w:p>
      <w:r>
        <w:t>23. While a non-competition or non-solicitation clause may appear necessary for the acquirer to benefit from a certain protection against competition from the seller, in order to be able to retain customers, as well as to assimilate and exploit know-how, such clauses are justified by the legitimate objective of achieving the concentration only to the extent that their duration, territorial scope, and material and personal scope do not exceed what is reasonably necessary for this purpose.</w:t>
      </w:r>
    </w:p>
    <w:p>
      <w:r>
        <w:t>24. Furthermore, the limitation of the seller's right to purchase or hold shares in a company that competes with the transferred activity cannot be considered as being directly related and necessary to the achievement of the concentration if it prevents the seller from purchasing or holding these shares solely for investment purposes, without granting them, directly or indirectly, management functions or substantial influence in the competing company.</w:t>
      </w:r>
    </w:p>
    <w:p>
      <w:r>
        <w:t>25. In this case, the non-competition clause stipulated in the transfer agreement constitutes a restriction that is directly related and necessary provided that it does not limit the transferor's ability to purchase or hold shares in competing companies of the new entity for investment purposes, within the limits set out in the previous paragraph of this decision.</w:t>
      </w:r>
    </w:p>
    <w:p>
      <w:r>
        <w:t>DECIDES</w:t>
      </w:r>
    </w:p>
    <w:p>
      <w:r>
        <w:t>Sole Article: The operation notified under number 13-003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