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https://www.autoritedelaconcurrence.fr/fr/decision-de-controle-des-concentrations/relative-la-prise-de-controle-exclusif-de-la-societe-apx-0</w:t>
      </w:r>
    </w:p>
    <w:p>
      <w:r>
        <w:t>Pages translated : 7</w:t>
      </w:r>
    </w:p>
    <w:p/>
    <w:p>
      <w:r>
        <w:rPr>
          <w:b/>
        </w:rPr>
        <w:t>[Pages 1–3]</w:t>
      </w:r>
    </w:p>
    <w:p>
      <w:r>
        <w:t xml:space="preserve">FRENCH REPUBLIC  </w:t>
        <w:br/>
        <w:t xml:space="preserve">Decision No. 15-DCC-131 of October 2, 2015  </w:t>
        <w:br/>
        <w:t>regarding the exclusive control of the company APX Invest by the company Vinci SA</w:t>
      </w:r>
    </w:p>
    <w:p>
      <w:r>
        <w:t xml:space="preserve">The Competition Authority,  </w:t>
        <w:br/>
        <w:t xml:space="preserve">Having regard to the notification file submitted in full to the merger service on August 28, 2015, regarding the exclusive control of the company APX Invest by the company Vinci SA, through its subsidiary Vinci Energies, formalized by a transfer protocol dated July 28, 2015;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Vinci Energies is a subsidiary of the Vinci group (hereinafter "Vinci"). Vinci Energies is active in the information and communication technology market through its brand Axians. It offers a complete range of solutions and services, particularly in the design and implementation of infrastructures, managed services, as well as the provision and implementation of application solutions.  </w:t>
        <w:br/>
        <w:t>2. APX Invest (hereinafter "APX") holds 100% of the capital of the company APX Intégration. APX defines itself as a Cloud Builder and operates in the field of IT infrastructure solutions where it positions itself as a turnkey solution integrator including information storage, data backup, servers, networks, virtualization, and the provisioning portal (allowing for the remote installation and configuration of software). The services it offers cover consulting, solution integration, and recurring services (such as maintenance). The capital of the company APX Invest is predominantly held by its managers.</w:t>
      </w:r>
    </w:p>
    <w:p>
      <w:r>
        <w:t xml:space="preserve">3. Pursuant to the transfer protocol dated July 28, 2015, the transaction involves the acquisition by Vinci SA, through its subsidiary Vinci Energies, of the entire share capital and voting rights of the company APX Invest.  </w:t>
        <w:br/>
        <w:t xml:space="preserve">4. As it results in the exclusive control of the company APX Invest by Vinci SA, through its subsidiary Vinci Energies, the transaction constitutes a concentration within the meaning of Article L. 430-1 of the Commercial Code.  </w:t>
        <w:br/>
        <w:t>5. The companies concerned have together achieved a consolidated worldwide turnover excluding taxes of more than 150 million euros (Vinci: 38.7 billion euros for the fiscal year ending December 31, 2014; APX Invest: […] euros for the fiscal year ending September 30, 2014). Each of these companies has achieved, in France, a turnover exceeding 50 million euros (Vinci: […] euros for the fiscal year ending December 31, 2014; APX Invest: […] million euros for the fiscal year ending September 30, 2014). Given the turnover of the companies concerned, it does not have a community dimension. On the other hand, the control thresholds mentioned in Article L. 430-2-I of the Commercial Code are exceeded. The present operation is therefore subject to the provisions of Articles L. 430-3 and following of the Commercial Code.</w:t>
      </w:r>
    </w:p>
    <w:p>
      <w:r>
        <w:t xml:space="preserve">II. Delimitation of the relevant markets  </w:t>
        <w:br/>
        <w:t>6. The parties are simultaneously active in the market for IT services, in the market for computer servers, as well as in the market for IT data storage solutions.</w:t>
      </w:r>
    </w:p>
    <w:p>
      <w:r>
        <w:t xml:space="preserve">A. THE MARKET FOR IT SERVICES  </w:t>
        <w:br/>
        <w:t xml:space="preserve">1. PRODUCT MARKET  </w:t>
        <w:br/>
        <w:t xml:space="preserve">7. Decision-making practice, both European and national, has already had the opportunity to rule on the delimitation of the relevant markets in the IT services sector. However, it has left open, in each case, the exact delimitation of the relevant markets.  </w:t>
        <w:br/>
        <w:t xml:space="preserve">8. It has thus identified, within the market for IT services, seven functional categories of services: (i) global management services, (ii) business management services, (iii) software development and integration, (iv) consulting, (v) software maintenance and logistical support, (vi) hardware maintenance and logistical support, and (vii) teaching and training. However, it has not been excluded that these seven categories of services could be considered as belonging to a global market for IT services insofar as clients generally seek a service integrating all the activities described above and there is a high degree of substitutability on the supply side. The European Commission has also identified a segment of information technology outsourcing that would include Public Cloud Computing services, IaaS ("infrastructure as a service") services, and IT infrastructure outsourcing services including data center services, network outsourcing, outsourcing for end-user equipment as well as outsourcing of IT support activities and finally application outsourcing services. Finally, the Authority has questioned the existence of a distinct segment of IT security (security and confidentiality of IT data), insofar as this service is not substitutable for others.  </w:t>
        <w:br/>
        <w:t xml:space="preserve">9. Various alternative or complementary segmentations have also been considered according to:  </w:t>
        <w:br/>
        <w:t xml:space="preserve">- the type of clientele: SMEs or large accounts;  </w:t>
        <w:br/>
        <w:t xml:space="preserve">- the types of information and communication systems: (i) management application systems, which include IT services used to fulfill a horizontal function within companies or administrations; (ii) embedded scientific and technical industrial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the public sector, (vi) health, (vii) industry, (viii) commerce and distribution, (ix) services, and (x) transport.  </w:t>
        <w:br/>
        <w:t xml:space="preserve">10. In the present case, Vinci and APX Invest are simultaneously active in different segments of the IT services market.  </w:t>
        <w:br/>
        <w:t>11. There is no need to challenge the segmentations considered, as regardless of the delimitation retained, the conclusions of the analysis will remain unchanged.</w:t>
      </w:r>
    </w:p>
    <w:p>
      <w:r>
        <w:t xml:space="preserve">2. GEOGRAPHICAL MARKET  </w:t>
        <w:br/>
        <w:t>12. Competition authorities have repeatedly held that the markets for IT services are of national dimension, notably due to the necessity for service providers to communicate regularly in the language of their clients and to maintain a relative proximity to them. However, they have noted a certain internationalization of supply and demand.</w:t>
      </w:r>
    </w:p>
    <w:p>
      <w:r>
        <w:rPr>
          <w:b/>
        </w:rPr>
        <w:t>[Pages 4–6]</w:t>
      </w:r>
    </w:p>
    <w:p>
      <w:r>
        <w:t>13. There is no need to revisit this national market delineation on the occasion of the present operation.</w:t>
      </w:r>
    </w:p>
    <w:p>
      <w:r>
        <w:t>B. THE MARKET FOR COMPUTER SERVERS</w:t>
      </w:r>
    </w:p>
    <w:p>
      <w:r>
        <w:t>1. PRODUCT MARKET</w:t>
      </w:r>
    </w:p>
    <w:p>
      <w:r>
        <w:t>14. European decision-making practice has considered segmenting the server market by price range by distinguishing (i) entry-level servers priced below $100,000, (ii) mid-range servers priced between $100,000 and $999,999, and (iii) high-end servers priced above $1,000,000.</w:t>
      </w:r>
    </w:p>
    <w:p>
      <w:r>
        <w:t>15. In the present case, Vinci and APX Invest are simultaneously active in the different segments of the computer server market.</w:t>
      </w:r>
    </w:p>
    <w:p>
      <w:r>
        <w:t>16. However, it is not necessary to decide on the precise delineation of the computer server market, insofar as, regardless of the delineation adopted, the conclusions of the analysis will remain unchanged.</w:t>
      </w:r>
    </w:p>
    <w:p>
      <w:r>
        <w:t>2. GEOGRAPHIC MARKET</w:t>
      </w:r>
    </w:p>
    <w:p>
      <w:r>
        <w:t>17. European decision-making practice has considered that the market for computer servers is of European dimension while leaving the exact delineation of this market open.</w:t>
      </w:r>
    </w:p>
    <w:p>
      <w:r>
        <w:t>18. The question of the geographic delineation of the market for computer servers can be left open, insofar as, regardless of the delineation considered, the conclusions of the competitive analysis will remain unchanged.</w:t>
      </w:r>
    </w:p>
    <w:p>
      <w:r>
        <w:t>C. THE MARKET FOR COMPUTER DATA STORAGE SOLUTIONS</w:t>
      </w:r>
    </w:p>
    <w:p>
      <w:r>
        <w:t>1. PRODUCT MARKET</w:t>
      </w:r>
    </w:p>
    <w:p>
      <w:r>
        <w:t>19. European decision-making practice has considered making an initial segmentation based on the type of physical medium used (disks, optical media, magnetic tapes) and then, regarding disks, to proceed with a second segmentation according to the technology used: "Directly Attached Storage" ("DAS"); Network Attached Storage ("NAS") and Storage Area Network ("SAN").</w:t>
      </w:r>
    </w:p>
    <w:p>
      <w:r>
        <w:t>20. In the present case, Vinci and APX Invest are simultaneously active in the different segments of the market for computer data storage solutions.</w:t>
      </w:r>
    </w:p>
    <w:p>
      <w:r>
        <w:t>21. However, it is not necessary to decide on the precise delineation of the market for computer data storage solutions, insofar as, regardless of the delineation adopted, the conclusions of the analysis will remain unchanged.</w:t>
      </w:r>
    </w:p>
    <w:p>
      <w:r>
        <w:t>2. GEOGRAPHIC MARKET</w:t>
      </w:r>
    </w:p>
    <w:p>
      <w:r>
        <w:t>22. European decision-making practice has considered that the market for computer data storage solutions is of European dimension while leaving the exact delineation of this market open.</w:t>
      </w:r>
    </w:p>
    <w:p>
      <w:r>
        <w:t>23. The question of the geographic delineation of the market for computer data storage solutions can be left open, insofar as, regardless of the delineation considered, the conclusions of the competitive analysis will remain unchanged.</w:t>
      </w:r>
    </w:p>
    <w:p>
      <w:r>
        <w:t>III. Competitive Analysis</w:t>
      </w:r>
    </w:p>
    <w:p>
      <w:r>
        <w:t>24. The activities of the parties overlap (i) in the market for IT services, (ii) in the market for computer servers, and (iii) in the market for computer data storage solutions.</w:t>
      </w:r>
    </w:p>
    <w:p>
      <w:r>
        <w:t>25. Furthermore, the parties are active in markets that may present vertical and conglomerate links between them.</w:t>
      </w:r>
    </w:p>
    <w:p>
      <w:r>
        <w:t>A. ANALYSIS OF HORIZONTAL EFFECTS</w:t>
      </w:r>
    </w:p>
    <w:p>
      <w:r>
        <w:t>1. ON THE MARKET FOR IT SERVICES</w:t>
      </w:r>
    </w:p>
    <w:p>
      <w:r>
        <w:t>26. In the overall market for IT services, the notifying party estimates that the market share of the combined entity will be less than [0-5]% at the national level. The new entity will face competition from numerous operators, such as Cap Gemini, IBM, Logica, France Telecom, Accenture, HP, Orange Business Services, Atos Bull, Nextira One France, British Telecom Service, Spie Communications, Dell, and Computacenter.</w:t>
      </w:r>
    </w:p>
    <w:p>
      <w:r>
        <w:t>27. In each of the segments considered by practice and for which the operation entails an overlap, the market share of the new entity will remain below [0-5]%.</w:t>
      </w:r>
    </w:p>
    <w:p>
      <w:r>
        <w:t>28. Consequently, the present operation is not likely to harm competition through horizontal effects in the market for IT services.</w:t>
      </w:r>
    </w:p>
    <w:p>
      <w:r>
        <w:t>2. ON THE MARKET FOR COMPUTER SERVERS</w:t>
      </w:r>
    </w:p>
    <w:p>
      <w:r>
        <w:t>29. In the overall market for computer servers, as in each of the segments considered by decision-making practice, the notifying party estimates that the market share of the new entity will be less than [0-5]%, with the increment resulting from the operation being less than [0-5]%.</w:t>
      </w:r>
    </w:p>
    <w:p>
      <w:r>
        <w:t>30. Consequently, the present operation is not likely to harm competition through horizontal effects in the market for computer servers.</w:t>
      </w:r>
    </w:p>
    <w:p>
      <w:r>
        <w:t>3. ON THE MARKET FOR COMPUTER DATA STORAGE SOLUTIONS</w:t>
      </w:r>
    </w:p>
    <w:p>
      <w:r>
        <w:t>31. In the overall market for computer data storage solutions, as in each of the segments considered by decision-making practice, the notifying party estimates that the market share of the combined entity will be less than [5-10]%, with the increment resulting from the operation being less than [0-5]%.</w:t>
      </w:r>
    </w:p>
    <w:p>
      <w:r>
        <w:t>32. Consequently, the present operation is not likely to harm competition through horizontal effects in the market for computer data storage solutions.</w:t>
      </w:r>
    </w:p>
    <w:p>
      <w:r>
        <w:t>B. ANALYSIS OF NON-HORIZONTAL EFFECTS</w:t>
      </w:r>
    </w:p>
    <w:p>
      <w:r>
        <w:t>33. A vertical concentration can restrict competition by making it more difficult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A concentration is likely to lead to conglomerate effects when the new entity extends or strengthens its presence in markets that are connected to other markets where it holds market power.</w:t>
      </w:r>
    </w:p>
    <w:p>
      <w:r>
        <w:t>34. However, decision-making practice generally considers that a risk of vertical or conglomerate effect can be ruled out as long as the market share of the entity resulting from the operation in the relevant markets does not exceed 30%.</w:t>
      </w:r>
    </w:p>
    <w:p>
      <w:r>
        <w:t>35. In this case, across all the markets concerned by the operation and presenting vertical or conglomerate links between them, the market share of the combined entity will remain below [5-10]%.</w:t>
      </w:r>
    </w:p>
    <w:p>
      <w:r>
        <w:t>36. Furthermore, in these markets for IT services in France, the new entity will face competition from numerous players (Cap Gemini, IBM, France Telecom, Dell, Kheops, Anteneta, Overlap, Stordora, Scasicom, SpieCom, and DiData…).</w:t>
      </w:r>
    </w:p>
    <w:p>
      <w:r>
        <w:t>37. Consequently, the operation is not likely to harm competition through vertical or conglomerate effects.</w:t>
      </w:r>
    </w:p>
    <w:p>
      <w:r>
        <w:rPr>
          <w:b/>
        </w:rPr>
        <w:t>[Pages 7–7]</w:t>
      </w:r>
    </w:p>
    <w:p>
      <w:r>
        <w:t xml:space="preserve">DECIDES  </w:t>
        <w:br/>
        <w:t xml:space="preserve">Sole Article: The operation notified under number 15-135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