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https://www.autoritedelaconcurrence.fr/fr/decision-de-controle-des-concentrations/relative-la-prise-de-controle-exclusif-de-la-societe-area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18-DCC-110 of July 5, 2018  </w:t>
        <w:br/>
        <w:t xml:space="preserve">regarding the exclusive control acquisition of the company Area Auto by the  </w:t>
        <w:br/>
        <w:t xml:space="preserve">company Priod Holding  </w:t>
        <w:br/>
        <w:t xml:space="preserve">The Competition Authority,  </w:t>
        <w:br/>
        <w:t xml:space="preserve">Having regard to the complete notification file submitted to the mergers department on June 12, 2018,  </w:t>
        <w:br/>
        <w:t xml:space="preserve">concerning the exclusive control acquisition of the company Area Auto by the company Priod Holding, and  </w:t>
        <w:br/>
        <w:t xml:space="preserve">materialized by a share transfer deed dated April 10,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Priod Holding of the  </w:t>
        <w:br/>
        <w:t xml:space="preserve">company Area Auto, which operates, through its operating subsidiaries, nine automobile dealerships of the brands Opel, Kia, and Saab in the Nord department (59). It constitutes  </w:t>
        <w:br/>
        <w:t xml:space="preserve">a concentration operation within the meaning of Article L. 430-1 of the Commercial Code. Given  </w:t>
        <w:br/>
        <w:t xml:space="preserve">the turnover achieved by the companies concerned, the operation does not fall under the  </w:t>
        <w:br/>
        <w:t xml:space="preserve">jurisdiction of the European Union. On the other hand, the control thresholds related to retail  </w:t>
        <w:br/>
        <w:t xml:space="preserve">mentioned in point II of Article L. 430-2 of the Commercial Code are exceeded. The  </w:t>
        <w:br/>
        <w:t xml:space="preserve">present operation is therefore subject to the provisions of Articles L. 430-3 and following of the Commercial  </w:t>
        <w:br/>
        <w:t xml:space="preserve">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18-122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