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https://www.autoritedelaconcurrence.fr/fr/decision-de-controle-des-concentrations/relative-la-prise-de-controle-exclusif-de-la-societe-argon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25-DCC-25 of February 4, 2025</w:t>
        <w:br/>
        <w:t>regarding the acquisition of exclusive control of the company Argon &amp; Co</w:t>
        <w:br/>
        <w:t>by the company Bridgepoint</w:t>
        <w:br/>
        <w:t>The Competition Authority,</w:t>
        <w:br/>
        <w:t>Having regard to the complete notification file submitted to the mergers department on January 20, 2025,</w:t>
        <w:br/>
        <w:t>concerning the acquisition of exclusive control of the company Argon &amp; Co by the company Bridgepoint</w:t>
        <w:br/>
        <w:t>formalized by a share transfer agreement signed on December 19,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by the company Bridgepoint, via an</w:t>
        <w:br/>
        <w:t>investment vehicle, of the company Argon &amp; Co and all its subsidiaries, active in the markets for business consulting services. Bridgepoint will have negative exclusive control over Argon &amp; Co through veto rights allowing it to solely block the adoption of certain strategic decisions. The operation constitutes a concentration within the meaning of Article L. 430-1 of the Commercial Code. Given the revenues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25-013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