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https://www.autoritedelaconcurrence.fr/fr/decision-de-controle-des-concentrations/relative-la-prise-de-controle-exclusif-de-la-societe-asc-0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12-DCC-165 of December 3, 2012  </w:t>
        <w:br/>
        <w:t xml:space="preserve">regarding the exclusive control acquisition of the company ASC Léman by the  </w:t>
        <w:br/>
        <w:t xml:space="preserve">company ITM Alimentaire Centre-Est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October 30, 2012, concerning the exclusive control acquisition of the company ASC Léman by the company  </w:t>
        <w:br/>
        <w:t xml:space="preserve">ITM Alimentaire Centre-Est, materialized by a share transfer agreement dated October 16, 2012;  </w:t>
        <w:br/>
        <w:t xml:space="preserve">Having regard to Book IV of the Commercial Code relating to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ASC Léman, which  </w:t>
        <w:br/>
        <w:t xml:space="preserve">operates a retail business fund primarily focused on food under the brand  </w:t>
        <w:br/>
        <w:t xml:space="preserve">Intermarché with a surface area of 2,460 m² in Thonon-les-Bains (74), by the company ITM  </w:t>
        <w:br/>
        <w:t xml:space="preserve">Alimentaire Centre-Est, a subsidiary of ITM Entreprises. It constitutes a concentration operation within the meaning of Article L. 430-1 of the Commercial Code. Given the turnover generated by the companies concerned, the operation does not have a community dimension. On the other hand, the retail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12-176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