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https://www.autoritedelaconcurrence.fr/fr/decision-de-controle-des-concentrations/relative-la-prise-de-controle-exclusif-de-la-societe-asdl</w:t>
      </w:r>
    </w:p>
    <w:p>
      <w:r>
        <w:t>Pages translated : 5</w:t>
      </w:r>
    </w:p>
    <w:p/>
    <w:p>
      <w:r>
        <w:rPr>
          <w:b/>
        </w:rPr>
        <w:t>[Pages 1–3]</w:t>
      </w:r>
    </w:p>
    <w:p>
      <w:r>
        <w:t xml:space="preserve">FRENCH REPUBLIC  </w:t>
        <w:br/>
        <w:t xml:space="preserve">Decision No. 17-DCC-25 of February 16, 2017  </w:t>
        <w:br/>
        <w:t xml:space="preserve">regarding the exclusive control of ASDL by  </w:t>
        <w:br/>
        <w:t>the Océinde group</w:t>
      </w:r>
    </w:p>
    <w:p>
      <w:r>
        <w:t xml:space="preserve">The Competition Authority,  </w:t>
        <w:br/>
        <w:t xml:space="preserve">Having regard to the notification file submitted in full to the merger service on January 17, 2017, regarding the exclusive control of ASDL by the Océinde group, formalized by a share transfer agreement dated November 3,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Océinde group (hereinafter "Océinde") is wholly owned by the Goulamaly family. It holds companies active in the telecommunications sector under the ZEOP brand, in the manufacturing and distribution of chemical products, in the distribution of food products, in aquaculture, in industrial fishing, in the production and manufacturing of animated films, and in real estate. The group operates in Réunion, in the Indian Ocean zone, in mainland France, in Southern Africa, and in Southeast Asia. Océinde controls the companies Réunicable, active in the deployment and operation of fiber optic networks in Réunion, Zeop, an internet service provider, and Zeop Mobile, a telecommunications operator with a 4G license since October 13, 2016, in Réunion.  </w:t>
        <w:br/>
        <w:t xml:space="preserve">2. ASDL is a simplified joint-stock company that holds exclusive control of the company Antenne Réunion Télévision (hereinafter "ART"), primarily active in the production, publishing, broadcasting, and valorization of audiovisual content. ART notably publishes the local free channel Antenne Réunion.  </w:t>
        <w:br/>
        <w:t>3. The operation, formalized by a share transfer agreement dated November 3, 2016, consists of Océinde acquiring 100% of the capital and voting rights of ASDL.</w:t>
      </w:r>
    </w:p>
    <w:p>
      <w:r>
        <w:t xml:space="preserve">4. In that it results in the exclusive control of ASDL by the Océinde group, the operation constitutes a concentration within the meaning of Article L. 430-1 of the Commercial Code.  </w:t>
        <w:br/>
        <w:t>5. The companies concerned together achieve a total worldwide turnover excluding tax of more than 75 million euros (Océinde: [...] euros for the fiscal year ending December 31, 2015; ART: [...] euros for the same fiscal year). Each of these companies has achieved a turnover in the overseas department (hereinafter "DROM") of Réunion exceeding 15 million euros (Océinde: [...] euros for the fiscal year ending December 31, 2015; ART: [...] euros for the same fiscal year). Given these turnovers, the operation does not fall under the jurisdiction of the European Union. However, the control thresholds mentioned in III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The parties are not present in the same markets. However, there are links of connectivity between the fixed telecommunications markets in which the Océinde group is present and certain television markets in which ASDL is present.  </w:t>
        <w:br/>
        <w:t>7. The markets concerned by the operation are therefore the television markets (A) and the telecommunications market (B).</w:t>
      </w:r>
    </w:p>
    <w:p>
      <w:r>
        <w:t xml:space="preserve">A. THE TELEVISION MARKETS  </w:t>
        <w:br/>
        <w:t xml:space="preserve">8. Only the ASDL group is active in the television markets in Réunion. More specifically, through its subsidiary ART, the ASDL group is active in the market for publishing free television channels.  </w:t>
        <w:br/>
        <w:t xml:space="preserve">9. Decision-making practice has defined a number of relevant markets structuring the sectors of pay television and free television. It consistently distinguishes the publishing of free television channels from the publishing of pay television channels. Indeed, there is not strictly speaking a market for the publishing of free channels as they are neither remunerated by distributors of television bouquets nor marketed to end consumers. Unlike pay channels, which have a business plan heavily dependent on distribution revenues, free channels are primarily funded by television advertising.  </w:t>
        <w:br/>
        <w:t xml:space="preserve">10. Decision-making practice has therefore considered that the downstream market for the distribution of free television services does not constitute a relevant market. On the other hand, it recognizes the existence of a television advertising market, which constitutes the sole source of revenue, excluding public subsidies, for publishers of free channels. According to decision-making practice, this market is distinct from other advertising markets (cinema, press, radio, outdoor advertising, internet, etc.).  </w:t>
        <w:br/>
        <w:t>11. Decision-making practice also considers that the television advertising market is of national dimension, due to linguistic and cultural barriers, except in the case of local television advertising, for which the relevant market would correspond to the television broadcast area.</w:t>
      </w:r>
    </w:p>
    <w:p>
      <w:r>
        <w:t xml:space="preserve">B. THE TELECOMMUNICATIONS MARKET  </w:t>
        <w:br/>
        <w:t>12. The Océinde group, through its subsidiaries Réunicable and Zeop, is present in the wholesale fixed telecommunications markets, excluding telephony, as well as in the retail markets, where they market offers intended for the general public and professionals.</w:t>
      </w:r>
    </w:p>
    <w:p>
      <w:r>
        <w:t xml:space="preserve">1. THE WHOLESALE FIXED TELECOMMUNICATIONS MARKET, EXCLUDING TELEPHONY  </w:t>
        <w:br/>
        <w:t xml:space="preserve">13. At the wholesale market stage, decision-making practice distinguishes passive offers, which allow operators to build their unbundling offers from subscriber connection nodes ("NRA"), within a logic of competition by infrastructure, and so-called "activated" wholesale offers on third-party operators' infrastructures, which fall under a logic of competition by services. Decision-making practice has noted that the choice between one or the other of the solutions falls under distinct economic logics, with both types of offers being complementary.  </w:t>
        <w:br/>
        <w:t xml:space="preserve">14. Geographically, the Authority has considered distinguishing the mainland from each of the DROM.  </w:t>
        <w:br/>
        <w:t>15. The question of the exact delimitation of this market may remain open, as the competitive analysis remains unchanged, regardless of the hypothesis considered.</w:t>
      </w:r>
    </w:p>
    <w:p>
      <w:r>
        <w:t xml:space="preserve">2. THE RETAIL MARKET FOR INTERNET ACCESS PROVISION  </w:t>
        <w:br/>
        <w:t>16. Decision-making practice distinguishes the market for low-speed internet access provision (via the switched telephone network) and the market for high-speed and very high-speed internet access provision (via ADSL, cable, and fiber technologies). Indeed, decision-making practice has considered that high and very high-speed accesses were substitutable, particularly given the limited specific uses of very high-speed access.</w:t>
      </w:r>
    </w:p>
    <w:p>
      <w:r>
        <w:rPr>
          <w:b/>
        </w:rPr>
        <w:t>[Pages 4–5]</w:t>
      </w:r>
    </w:p>
    <w:p>
      <w:r>
        <w:t>17. Geographically, decision-making practice considers that it is appropriate to distinguish the mainland from each of the DROM.</w:t>
      </w:r>
    </w:p>
    <w:p>
      <w:r>
        <w:t>III. Competitive Analysis</w:t>
      </w:r>
    </w:p>
    <w:p>
      <w:r>
        <w:t>18. The operation will not result in any overlap of activities between the parties and, therefore, will not generate horizontal effects.</w:t>
      </w:r>
    </w:p>
    <w:p>
      <w:r>
        <w:t>19. However, the target's activities in the free television sector have a connection with those carried out by Océinde in the telecommunications markets. Some of the offers marketed by Océinde, through its subsidiary Zeop, in the retail market for internet access provision indeed include an audiovisual component consisting, in part, of free channels.</w:t>
      </w:r>
    </w:p>
    <w:p>
      <w:r>
        <w:t>20. Questioned during the investigation of the present operation, some competing operators argued that the proposed acquisition could allow the Océinde group to limit the broadcast of the Antenne Réunion channel to Zeop's offers to the detriment of other broadcasters. However, this scenario of competitive risk does not appear credible.</w:t>
      </w:r>
    </w:p>
    <w:p>
      <w:r>
        <w:t>21. First, the audience level of Antenne Réunion depends on the extent of its broadcast. The audience level directly influences the selling price of advertising spaces, the revenues from which constitute the main source of income for Antenne Réunion. Therefore, by limiting the broadcast of Antenne Réunion to Zeop's offers alone, Océinde would risk degrading the economic balance of the channel.</w:t>
      </w:r>
    </w:p>
    <w:p>
      <w:r>
        <w:t>22. Secondly, the majority of Océinde's competing operators in the telecommunications markets are also active in the television sector. The Orange group thus publishes the pay channels OCS. The SFR group has just announced the acquisition of exclusive control of the NextRadioTV group (which notably publishes the BFM TV and SFR Sports channels). Finally, Canal+ Overseas, which acquired exclusive control of the Mediaserv operator in 2014, belongs to the Canal Plus group, which publishes numerous pay channels (including the Canal+ channels) and the free channels C8 and CStar. Therefore, Océinde's main competitors also have their own television content, which is likely to ensure the attractiveness of their retail offers to end customers. Thus, a strategy to restrict access to the Antenne Réunion channel is unlikely to have an impact on the subscriber bases of competing operators.</w:t>
      </w:r>
    </w:p>
    <w:p>
      <w:r>
        <w:t>23. Consequently, the operation is not likely to harm competition in the television and telecommunications markets.</w:t>
      </w:r>
    </w:p>
    <w:p>
      <w:r>
        <w:t>DECIDES</w:t>
      </w:r>
    </w:p>
    <w:p>
      <w:r>
        <w:t>Sole Article: The operation notified under number 16-248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