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https://www.autoritedelaconcurrence.fr/fr/decision-de-controle-des-concentrations/relative-la-prise-de-controle-exclusif-de-la-societe-asten</w:t>
      </w:r>
    </w:p>
    <w:p>
      <w:r>
        <w:t>Pages translated : 7</w:t>
      </w:r>
    </w:p>
    <w:p/>
    <w:p>
      <w:r>
        <w:rPr>
          <w:b/>
        </w:rPr>
        <w:t>[Pages 1–3]</w:t>
      </w:r>
    </w:p>
    <w:p>
      <w:r>
        <w:t xml:space="preserve">FRENCH REPUBLIC  </w:t>
        <w:br/>
        <w:t xml:space="preserve">Decision No. 17-DCC-74 of June 1, 2017  </w:t>
        <w:br/>
        <w:t xml:space="preserve">regarding the exclusive control of Asten Santé by La Poste Silver  </w:t>
        <w:br/>
        <w:t xml:space="preserve">The Competition Authority,  </w:t>
        <w:br/>
        <w:t xml:space="preserve">Having regard to the notification file submitted in full to the mergers service on April 26, 2017, regarding the exclusive control of Asten Santé by La Poste Silver, formalized by a transfer agreement dated April 20,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La Poste Silver is a 100% subsidiary of La Poste, a public limited company and head of the La Poste group. La Poste is jointly controlled1 by the French State, represented by the State Shareholding Agency (73.68% of the capital), and the Caisse des dépôts et consignations (26.32% of the capital). The activities of the La Poste group revolve around five main branches: the Services-Mail-Parcels branch (mail, parcels, direct marketing, logistics, personal services, and solutions for the elderly); the GeoPost express branch (express delivery services); the La Banque Postale branch (banking and insurance services for individuals and businesses); the La Poste Network branch (post offices); and the Digital branch (digital transformation of organizations, data processing, e-commerce, e-health).  </w:t>
        <w:br/>
        <w:t xml:space="preserve">2. Asten Santé, a public limited company and head of the Asten Santé group, operates in the home healthcare and e-health sectors. Asten Santé SA is held at […]% by Gemmes Venture, at […]% by Salvepar, and at […]% by various associations active in the home healthcare sector2. The remaining capital (3.6%) is held by Mr. [X] and Mrs. [Y], and by Asten Santé (self-holding).  </w:t>
        <w:br/>
        <w:t xml:space="preserve">3. The notified operation, formalized by a transfer agreement dated April 20, 2017, involves the acquisition by La Poste Silver (i) of all shares of Asten Santé held by [confidential], as well as (ii) the acquisition of part of the shares of Asten Santé held by [confidential]. Following the operation, La Poste Silver is to hold [&gt;50]% of the capital and [&gt;50]% of the voting rights of Asten Santé. Furthermore, the representatives of La Poste Silver on the supervisory board of Asten Santé will be able to block and solely vote on the company's strategic decisions.  </w:t>
        <w:br/>
        <w:t xml:space="preserve">4. As it results in the exclusive control of Asten Santé by La Poste, the notified operation constitutes a concentration within the meaning of Article L. 430-1 of the Commercial Code.  </w:t>
        <w:br/>
        <w:t xml:space="preserve">5. The concerned companies together achieve a total worldwide turnover excluding taxes of more than 150 million euros (La Poste: 23.3 billion euros for the fiscal year ending December 31, 2016; Asten Santé: […] euros for the fiscal year ending December 31, 2015). Each of these companies has achieved a turnover in France exceeding 50 million euros (La Poste: […] euros for the fiscal year ending December 31, 2016; Asten Santé: […] euros for the fiscal year ending December 31,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Asten Santé and La Poste are simultaneously present in the e-health sector (A). Furthermore, Asten Santé is active in home healthcare services (B) and La Poste is present in home services3 (C).  </w:t>
        <w:br/>
        <w:t xml:space="preserve">A. THE E-HEALTH MARKETS  </w:t>
        <w:br/>
        <w:t xml:space="preserve">1. THE SERVICE MARKETS  </w:t>
        <w:br/>
        <w:t xml:space="preserve">7. The Authority has defined e-health as "the application of information and communication technologies to all activities related to health"4.  </w:t>
        <w:br/>
        <w:t xml:space="preserve">2 The capital is held at […]% by the Loire Association for Home Treatment, Innovation and Research (hereinafter "ALTADIR"), at […]% by the Association for Home Assistance for Respiratory Insufficiency (hereinafter "ADIR"), at […]% by Don du Souffle (hereinafter "DDS"), at […]% by Air à Domicile (hereinafter "AIR"), at […]% by the Havre Group for Assistance to Respiratory Disabled Persons (hereinafter "GHAHR") and at […]% by the Home Assistance Section for Respiratory Insufficiency (hereinafter "SADIR").  </w:t>
        <w:br/>
        <w:t xml:space="preserve">3 La Poste also distributes in its post offices a digital tablet intended for seniors, which is set up at home by the mail carrier, but this activity is marginal.  </w:t>
        <w:br/>
        <w:t xml:space="preserve">4 Opinion No. 14-A-15 of October 9, 2014, regarding a draft decree concerning the obligation to certify software for medical prescription assistance and software for dispensing assistance as provided for in Article L. 161-38 of the Social Security Code.  </w:t>
        <w:br/>
        <w:t xml:space="preserve">2  </w:t>
        <w:br/>
        <w:t xml:space="preserve">8. Regarding the information technology services sector, European5 and national6 decision-making practice has identified seven functional categories of services: (i) global management services, (ii) business management services, (iii) software development and integration, (iv) consulting, (v) software maintenance and logistical support, (vi) hardware maintenance and logistical support, and (vii) education and training. However, it has not excluded the possibility of a global market for information technology services, insofar as clients generally seek a service that integrates all the activities described above and there is a high degree of substitutability on the supply side.  </w:t>
        <w:br/>
        <w:t xml:space="preserve">9. Furthermore, several alternative segmentations have been considered according to:  </w:t>
        <w:br/>
        <w:t xml:space="preserve">- the type of clientele: (i) SMEs or (ii) large accounts;  </w:t>
        <w:br/>
        <w:t xml:space="preserve">- the type of information and communication systems: (i) management application systems, which include IT services used to fulfill a horizontal function within companies or administrations, (ii) embedded industrial scientific application systems, (iii) generic application systems, (iv) IT infrastructure systems, and (v) communication infrastructure and enterprise network systems;  </w:t>
        <w:br/>
        <w:t xml:space="preserve">- the sector of activity: (i) communications, (ii) education, (iii) energy and local networks, (iv) financial services, (v) the public sector, (vi) health, (vii) industry, (viii) commerce and distribution, (ix) services, and (x) transport.  </w:t>
        <w:br/>
        <w:t xml:space="preserve">10. In this case, the operation primarily concerns the market for IT services specific to the health sector7.  </w:t>
        <w:br/>
        <w:t xml:space="preserve">11. However, e-health services do not cover the market for only the IT services as presented above. In a recent study8, the consulting firm Xerfi identified three segments in the e-health sector: (i) health information systems aimed particularly at hospitals and healthcare professionals, close to the market for health IT services considered by decision-making practice, (ii) telehealth including the dematerialization of management of reimbursements, prescriptions, and patient records, as well as the development of tools allowing online recording of physiological data, and (iii) telemedicine which encompasses all medical procedures performed remotely by professionals. The notifying party has thus proposed to retain these three segments for the purposes of the analysis of the present operation.  </w:t>
        <w:br/>
        <w:t xml:space="preserve">12. In this case, the question of the exact delimitation of the service markets can be left open, as, regardless of the segmentation retained, the conclusions of the competitive analysis remain unchanged.  </w:t>
        <w:br/>
        <w:t xml:space="preserve">5 See in particular the decisions of the European Commission M.2365 Schlumberger / Sema of April 4, 2001, M.2609 HP / Compaq of January 31, 2002, M.3555 Hewlett-Packard / Synstar of September 9, 2004, M.3571 IBM / Maerskdate / DMData of November 18, 2004, M.3995 Belgacom / Telindus of December 1, 2005, M.5197 HP / EDS of July 25, 2008, M.5301 Cap Gemini / BAS of October 13, 2008, and M.6237 Computer Sciences Corporation/iSoft Group of June 20, 2011.  </w:t>
        <w:br/>
        <w:t xml:space="preserve">6 See in particular the decisions of the Competition Authority No. 09-DCC-93 of December 31, 2009, regarding the acquisition by Bull SA of assets from Crescendo Industries, No. 14-DCC-56 of April 14, 2014, regarding the exclusive control of Groupe Euriware by Capgemini France, No. 15-DCC-100 of July 22, 2015, regarding the exclusive control of Matis by Akka Technologies, and No. 17-DCC-17 of February 7, 2017, regarding the exclusive control of Feel Europe Groupe by the Société pour l’Information Industrielle group.  </w:t>
        <w:br/>
        <w:t xml:space="preserve">7 See the aforementioned decision M.6237.  </w:t>
        <w:br/>
        <w:t xml:space="preserve">8 Xerfi Percepta, The E-Health Markets by 2020, October 2014.  </w:t>
        <w:br/>
        <w:t>3</w:t>
      </w:r>
    </w:p>
    <w:p>
      <w:r>
        <w:rPr>
          <w:b/>
        </w:rPr>
        <w:t>[Pages 4–6]</w:t>
      </w:r>
    </w:p>
    <w:p>
      <w:r>
        <w:t>2. GEOGRAPHIC MARKETS</w:t>
        <w:br/>
        <w:t>13. Decision-making practice9 has considered that the markets for the provision of home healthcare services are of a national size, given the existence of regulation and a reimbursement system established at the national level and the presence of numerous national providers13.</w:t>
        <w:br/>
        <w:t>14. In this case, the competitive analysis will be conducted at the national level.</w:t>
        <w:br/>
        <w:t>C. MARKETS FOR PERSONAL SERVICES</w:t>
        <w:br/>
        <w:t>23. National decision-making practice has defined personal services as "services generally performed at the consumer's home to contribute to well-being in their daily life"14. It has left open the question of a finer segmentation of this market, particularly between the provision of services (i) to families, (ii) for daily living, and (iii) for dependent persons.</w:t>
        <w:br/>
        <w:t>24. In any case, the exact definition of these service markets can be left open, as the conclusions of the competitive analysis remain unchanged regardless of the segmentation chosen.</w:t>
        <w:br/>
        <w:t>25. In this case, the competitive analysis will be conducted at the national level15.</w:t>
        <w:br/>
        <w:t>III. Competitive Analysis</w:t>
        <w:br/>
        <w:t>A. HORIZONTAL EFFECTS</w:t>
        <w:br/>
        <w:t>26. La Poste and Asten Santé are simultaneously active in the e-health sector.</w:t>
        <w:br/>
        <w:t>27. In the overall e-health market, the notifying party estimates that La Poste and Asten Santé have market shares16 of [0-5]% and [0-5]%, respectively, resulting in a combined market share of [0-5]%.</w:t>
        <w:br/>
        <w:t>28. In finer segments, regardless of their delineation, the estimated market shares of the new entity are consistently below [10-20]%, with a maximum increment of less than [0-5] points.</w:t>
        <w:br/>
        <w:t>29. Therefore, the transaction is not likely to harm competition through potential horizontal effects in the e-health markets in France.</w:t>
        <w:br/>
        <w:t>13 Ibid.</w:t>
        <w:br/>
        <w:t>14 See in particular decision n° 10-DCC-52 of June 2, 2010, regarding the creation of a Mutual Insurance Group Company ("SGAM") by MACIF, MAIF, and MATMUT.</w:t>
        <w:br/>
        <w:t>15 Ibid.</w:t>
        <w:br/>
        <w:t>16 Market shares have been calculated based on the Xerfi/Percepta study titled "The Markets for E-Health by 2020" from March 2014.</w:t>
        <w:br/>
        <w:t>5</w:t>
      </w:r>
    </w:p>
    <w:p>
      <w:r>
        <w:t>B. NON-HORIZONTAL EFFECTS</w:t>
        <w:br/>
        <w:t>30. A vertical concentration may restrict competition by making access to the markets in which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br/>
        <w:t>31. Furthermore, a concentration may lead to conglomerate effects when the new entity extends or strengthens its presence in markets that are connected to other markets where it holds market power.</w:t>
        <w:br/>
        <w:t>32. However, decision-making practice generally considers that a risk of vertical or conglomerate effect can be ruled out as long as the market share of the entity resulting from the transaction in the relevant markets does not exceed 30%17.</w:t>
        <w:br/>
        <w:t>33. Across all markets affected by the transaction and presenting vertical or conglomerate links (e-health, home healthcare services, personal services), the market share of the new entity is below [10-20]%18. Furthermore, the new entity will compete, in each of these markets, with numerous players: Oracle, SAP, Google, Apple, iHealth, Fitbit, Axa (e-health markets), SOS Oxygène, L’Air Liquide, Linde, Isis Médical, and AMS/IP Santé (home healthcare services markets), and O2 and A2micile (personal services markets).</w:t>
        <w:br/>
        <w:t>34. Furthermore, it is worth questioning the effect of a potential non-replicable advantage of La Poste related to the network of post offices19, as well as its mail distribution activities, on the markets for home healthcare services.</w:t>
        <w:br/>
        <w:t>35. Indeed, the main competitors of the parties in the markets for home healthcare services have a limited number of agencies across the national territory and, in any case, far fewer than the number of offices held by La Poste.</w:t>
        <w:br/>
        <w:t>36. However, the existence of a leverage effect related to the ownership of a network of agencies can be ruled out, as this is not the means by which home healthcare service providers come into contact with patients. Indeed, the first operational contact with the patient generally occurs outside the agencies (telephone, patient's home, or hospital), following a medical prescription. The agencies of healthcare service providers mainly serve to welcome telephone assistance teams and administrative management, to store consumables and equipment, and to disinfect the latter, which all respondents to the market test confirm.</w:t>
        <w:br/>
        <w:t>37. Furthermore, while La Poste has already implemented solutions for dependent personal services based on visits from postal workers20, the replicability of such a scheme for healthcare services is limited. On the one hand, the provision of healthcare services requires specific qualifications and training, which postal workers do not possess. On the other hand, the nature of healthcare services necessitates a level of medical expertise and compliance with health regulations that cannot be met through a simple visit by a postal worker.</w:t>
      </w:r>
    </w:p>
    <w:p>
      <w:r>
        <w:rPr>
          <w:b/>
        </w:rPr>
        <w:t>[Pages 7–7]</w:t>
      </w:r>
    </w:p>
    <w:p>
      <w:r>
        <w:t>medical or paramedical skills that the postal workers do not possess. On the other hand, all respondents to the market test indicated that home healthcare services do not require daily visits to patients' homes. Indeed, healthcare services consist of the installation, provision, and maintenance of a medical-technical device (such as insulin or infusion pumps), and the delivery of medications (insulin, nutrition bags, oxygen, etc.) and medical materials and equipment (masks, catheters, etc.) used by this device at a variable frequency, but which is not daily21. In the case of oxygen therapy services, which are among the most demanding healthcare services, the visit frequency may be weekly. Therefore, the regular rounds of postal workers do not constitute a competitive advantage for these services.</w:t>
      </w:r>
    </w:p>
    <w:p>
      <w:r>
        <w:t>38. Consequently, there is not a sufficient connection between the markets for home healthcare services and postal services (postal rounds and post offices) that could lead to conglomerate effects.</w:t>
      </w:r>
    </w:p>
    <w:p>
      <w:r>
        <w:t>39. The operation is therefore not likely to harm competition through non-horizontal effects.</w:t>
      </w:r>
    </w:p>
    <w:p>
      <w:r>
        <w:t>DECIDES</w:t>
        <w:br/>
        <w:t>Sole Article: The notified operation under number 17-038 is authorized.</w:t>
        <w:br/>
        <w:t>The President,</w:t>
        <w:br/>
        <w:t>Isabelle de Silva</w:t>
        <w:br/>
        <w:t>© Competition Authority</w:t>
        <w:br/>
        <w:t>21 Home healthcare services are accompanied by nursing care that may be daily (changing infusion needles or nutrition bags, for example). However, this care is provided by healthcare professionals independent of the healthcare service providers.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