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https://www.autoritedelaconcurrence.fr/fr/decision-de-controle-des-concentrations/relative-la-prise-de-controle-exclusif-de-la-societe-aster</w:t>
      </w:r>
    </w:p>
    <w:p>
      <w:r>
        <w:t>Pages translated : 4</w:t>
      </w:r>
    </w:p>
    <w:p/>
    <w:p>
      <w:r>
        <w:rPr>
          <w:b/>
        </w:rPr>
        <w:t>[Pages 1–3]</w:t>
      </w:r>
    </w:p>
    <w:p>
      <w:r>
        <w:t xml:space="preserve">FRENCH REPUBLIC  </w:t>
        <w:br/>
        <w:t xml:space="preserve">Decision No. 10-DCC-86 of August 4, 2010  </w:t>
        <w:br/>
        <w:t>regarding the exclusive control of the company Aster-Mod by the company Verywear</w:t>
      </w:r>
    </w:p>
    <w:p>
      <w:r>
        <w:t xml:space="preserve">The Competition Authority,  </w:t>
        <w:br/>
        <w:t xml:space="preserve">Having regard to the notification file sent to the merger service on June 14, 2010, and declared complete on July 5, 2010, regarding the exclusive control of the company Aster-Mod by the company Verywear, formalized by an acquisition offer from Verywear and accepted by Aster-Mod on April 8, 2010;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transaction  </w:t>
        <w:br/>
        <w:t xml:space="preserve">1. Verywear is a company active in the women's and men's ready-to-wear sector through a network of about sixty specialized hypermarkets. It is wholly owned by the company NFD, which is itself 36% owned by the company Fitoul, by investment funds (CIC Investissement Nord at 21.42%, Pechel Industries II at 23.85%, LCL régions développement at 3.57%, and Société d’exploitation magasin at 1.07%), the remainder of the capital being dispersed among minority shareholders. Fitoul, wholly owned by Mr. and Mrs. Toulemonde, holds preferred shares with double voting rights allowing it to make strategic decisions regarding Verywear alone. The Verywear group achieved a consolidated turnover excluding taxes of 106 million euros in 2009.  </w:t>
        <w:br/>
        <w:t>2. Aster-Mod, wholly owned by the Zastera family, holds the entire share capital of the company Julie Guerlande, which is engaged in the distribution of women's ready-to-wear through a network of 140 points of sale consisting of owned stores, corners within department stores, and affiliated commission agents. Aster-Mod achieved a consolidated turnover excluding taxes of 28.8 million euros in 2009.</w:t>
      </w:r>
    </w:p>
    <w:p>
      <w:r>
        <w:t xml:space="preserve">3. Under the acquisition offer of Verywear dated April 8, 2010, accepted by Aster-Mod, Verywear will hold, upon completion of the transaction, 100% of the shares and voting rights of Aster-Mod.  </w:t>
        <w:br/>
        <w:t>4. As it results in the exclusive control of Aster-Mod by Verywear, the notified transaction constitutes a concentration within the meaning of Article L. 430-1 of the Commercial Code. Given the turnover of the companies involved, it does not have a Community dimension. However, the control thresholds mentioned in point II of Article L. 430-2 of the Commercial Code are exceeded. Therefore, the present transaction is subject to the provisions of Articles L. 430-3 and following of the Commercial Code relating to economic concentration.</w:t>
      </w:r>
    </w:p>
    <w:p>
      <w:r>
        <w:t xml:space="preserve">II. Definition of Relevant Markets  </w:t>
        <w:br/>
        <w:t xml:space="preserve">5. In the retail sector, competition authorities recognize two categories of markets: (i) downstream markets, which bring together companies and the final consumer, and (ii) upstream supply markets.  </w:t>
        <w:br/>
        <w:t>6. The parties are simultaneously present in the downstream market for clothing sales and in the upstream clothing supply market.</w:t>
      </w:r>
    </w:p>
    <w:p>
      <w:r>
        <w:t xml:space="preserve">A. THE DOWNSTREAM MARKET FOR RETAIL CLOTHING SALES  </w:t>
        <w:br/>
        <w:t xml:space="preserve">1. DEFINITION OF PRODUCT MARKETS  </w:t>
        <w:br/>
        <w:t xml:space="preserve">7. The decisional practice1 has considered three types of segmentation for the retail clothing market: based on the final consumer (men, women, children), the level of the range (high, medium, low), and the distribution channel (specialized stores, specialized hypermarkets, food hypermarkets).  </w:t>
        <w:br/>
        <w:t xml:space="preserve">8. In this case, Verywear sells clothing for men, women, and children through specialized hypermarkets. Aster-Mod, for its part, sells women's clothing through its subsidiary Julie Guerlande via specialized boutiques.  </w:t>
        <w:br/>
        <w:t xml:space="preserve">9. The parties are only simultaneously present in the marketing of women's clothing, and more specifically, in the mid-range segment. In terms of distribution channel, the parties are not present in the same segments.  </w:t>
        <w:br/>
        <w:t xml:space="preserve">10. In this case, an analysis will be conducted on the retail market for women's clothing, particularly on the mid-range segment. If an additional segmentation based on the distribution channel were to be taken into account, the transaction would not lead to overlaps in activity.  </w:t>
        <w:br/>
        <w:t>1 See notably: Letter from the Minister of Economy, Finance and Industry dated April 4, 2008 (C2008-04), letter from the Minister of Economy, Finance and Industry dated October 12, 2007 (C2007-138), letter from the Minister of Economy, Finance and Industry dated April 20, 2007 (C2007-28).</w:t>
      </w:r>
    </w:p>
    <w:p>
      <w:r>
        <w:t>11. In this case, the exact delineation of the retail clothing markets can be left open, as the conclusions of the competitive analysis remain unchanged regardless of the solution adopted.</w:t>
      </w:r>
    </w:p>
    <w:p>
      <w:r>
        <w:t xml:space="preserve">2. DELINEATION OF GEOGRAPHIC MARKETS  </w:t>
        <w:br/>
        <w:t xml:space="preserve">12. The decisional practice2 has, on several occasions, adopted a local delineation for the market of women's clothing retail stores, and conducted an analysis on catchment areas of 20 minutes by car around each store.  </w:t>
        <w:br/>
        <w:t xml:space="preserve">13. There is no reason to challenge this delineation in the present decision.  </w:t>
        <w:br/>
        <w:t>14. In this case, the activities of the parties overlap in 15 such defined catchment areas, on which the competitive analysis will focus.</w:t>
      </w:r>
    </w:p>
    <w:p>
      <w:r>
        <w:t xml:space="preserve">B. THE UPSTREAM MARKET FOR CLOTHING SUPPLY  </w:t>
        <w:br/>
        <w:t xml:space="preserve">1. DEFINITION OF PRODUCT MARKETS  </w:t>
        <w:br/>
        <w:t xml:space="preserve">15. Both Aster-Mod and Verywear purchase the majority of the items they subsequently market to individuals from different producers.  </w:t>
        <w:br/>
        <w:t xml:space="preserve">16. In the distribution sector, national decisional practice considers that, as producers cannot easily convert to the manufacture of products other than their own, it is appropriate to distinguish as many markets as there are families of products.  </w:t>
        <w:br/>
        <w:t xml:space="preserve">17. Furthermore, the Minister of Economy3 has, on several occasions, identified an upstream market for clothing supply, a market in which the activities of the parties overlap.  </w:t>
        <w:br/>
        <w:t>18. There is no reason to challenge this definition in the present analysis.</w:t>
      </w:r>
    </w:p>
    <w:p>
      <w:r>
        <w:t xml:space="preserve">2. DELINEATION OF GEOGRAPHIC MARKETS  </w:t>
        <w:br/>
        <w:t xml:space="preserve">19. The clothing supply market has been defined by decisional practice as being of a global dimension4.  </w:t>
        <w:br/>
        <w:t xml:space="preserve">2 Letters from the Minister of Economy No. C2008-04 of April 4, 2008, and No. C2007-28 of June 28, 2007  </w:t>
        <w:br/>
        <w:t xml:space="preserve">3 Letter from the Minister dated November 15, 2004, to the Vetura group council and other aforementioned decisions  </w:t>
        <w:br/>
        <w:t>4 See notably: letter from the Minister of Economy, Finance and Industry dated April 4, 2008 (C2008-04)</w:t>
      </w:r>
    </w:p>
    <w:p>
      <w:r>
        <w:rPr>
          <w:b/>
        </w:rPr>
        <w:t>[Pages 4–4]</w:t>
      </w:r>
    </w:p>
    <w:p>
      <w:r>
        <w:t xml:space="preserve">III. Competitive Analysis  </w:t>
        <w:br/>
        <w:t xml:space="preserve">Given the activities carried out by the parties, the present transaction is likely to have horizontal effects on the upstream market of supply as well as on the downstream market of retail sales of women's clothing.  </w:t>
        <w:br/>
        <w:t xml:space="preserve">A. THE DOWNSTREAM MARKET OF RETAIL SALES OF WOMEN'S CLOTHING  </w:t>
        <w:br/>
        <w:t xml:space="preserve">20. As a preliminary point, it can be noted that the market share of the new entity in the retail market for women's clothing will be less than 1% at the national level.  </w:t>
        <w:br/>
        <w:t xml:space="preserve">21. At the local level, Verywear and Aster-Mod are simultaneously active in the areas of Amiens, Chalons en Champagne, Charleville, Chateaufarine, Lille / Englos Lomme Tourcoing, La Rochelle, Le Havre / Gonfreville, Macon, Reims, Rennes, Rouen, Saint-Brieuc, Tours, Valences, and Valenciennes.  </w:t>
        <w:br/>
        <w:t xml:space="preserve">22. In each of these areas, the cumulative market share of the parties will be less than 5%. In the mid-range segment, the parties have not been able to provide their market shares but estimate that they will not exceed 10%. Furthermore, the new entity will face the presence of numerous competitors such as the brands Caroll, Armand Thierry, Devernois, or Un jour ailleurs.  </w:t>
        <w:br/>
        <w:t xml:space="preserve">23. In light of the above, the transaction is not likely to harm competition in the downstream market of retail sales of women's clothing.  </w:t>
        <w:br/>
        <w:t xml:space="preserve">B. THE UPSTREAM MARKET OF SUPPLY OF CLOTHING  </w:t>
        <w:br/>
        <w:t xml:space="preserve">24. The parties represent a negligible share of the total clothing supplies in the global market.  </w:t>
        <w:br/>
        <w:t xml:space="preserve">25. Therefore, the present transaction is not likely to harm competition in this market.  </w:t>
        <w:br/>
        <w:t xml:space="preserve">DECIDES  </w:t>
        <w:br/>
        <w:t xml:space="preserve">Sole Article: The transaction notified under number 10-0066 is authorized.  </w:t>
        <w:br/>
        <w:t xml:space="preserve">The Vice-President,  </w:t>
        <w:br/>
        <w:t xml:space="preserve">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