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https://www.autoritedelaconcurrence.fr/fr/decision-de-controle-des-concentrations/relative-la-prise-de-controle-exclusif-de-la-societe-atb</w:t>
      </w:r>
    </w:p>
    <w:p>
      <w:r>
        <w:t>Pages translated : 2</w:t>
      </w:r>
    </w:p>
    <w:p/>
    <w:p>
      <w:r>
        <w:rPr>
          <w:b/>
        </w:rPr>
        <w:t>[Pages 1–2]</w:t>
      </w:r>
    </w:p>
    <w:p>
      <w:r>
        <w:t xml:space="preserve">FRENCH REPUBLIC  </w:t>
        <w:br/>
        <w:t xml:space="preserve">Decision No. 22-DCC-252 of December 20, 2022  </w:t>
        <w:br/>
        <w:t xml:space="preserve">regarding the exclusive control acquisition of the company ATB Auto by the  </w:t>
        <w:br/>
        <w:t xml:space="preserve">company E.C.L  </w:t>
        <w:br/>
        <w:t xml:space="preserve">The Competition Authority,  </w:t>
        <w:br/>
        <w:t xml:space="preserve">Having regard to the complete notification file submitted to the mergers department on November 29,  </w:t>
        <w:br/>
        <w:t xml:space="preserve">2022, concerning the exclusive control acquisition by the company E.C.L of the company ATB Auto,  </w:t>
        <w:br/>
        <w:t xml:space="preserve">formalized by a share transfer agreement dated November 29, 2022;  </w:t>
        <w:br/>
        <w:t xml:space="preserve">Having regard to Book IV of the Commercial Code relating to the freedom of prices and competition, and  </w:t>
        <w:br/>
        <w:t xml:space="preserve">notably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the company E.C.L of the company  </w:t>
        <w:br/>
        <w:t xml:space="preserve">ATB Auto, active in the automotive distribution sector. It constitutes a concentration operation within the meaning of Article L. 430-1 of the Commercial Code. Given the turnover achieved by the concerned companies,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22-313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