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https://www.autoritedelaconcurrence.fr/fr/decision-de-controle-des-concentrations/relative-la-prise-de-controle-exclusif-de-la-societe-audasc</w:t>
      </w:r>
    </w:p>
    <w:p>
      <w:r>
        <w:t>Pages translated : 2</w:t>
      </w:r>
    </w:p>
    <w:p/>
    <w:p>
      <w:r>
        <w:rPr>
          <w:b/>
        </w:rPr>
        <w:t>[Pages 1–2]</w:t>
      </w:r>
    </w:p>
    <w:p>
      <w:r>
        <w:t xml:space="preserve">FRENCH REPUBLIC  </w:t>
        <w:br/>
        <w:t xml:space="preserve">Decision No. 17-DCC-188 of November 14, 2017  </w:t>
        <w:br/>
        <w:t xml:space="preserve">regarding the exclusive control acquisition of the company Audasc by the  </w:t>
        <w:br/>
        <w:t>company ITM Entreprises</w:t>
      </w:r>
    </w:p>
    <w:p>
      <w:r>
        <w:t>The Competition Authority,</w:t>
      </w:r>
    </w:p>
    <w:p>
      <w:r>
        <w:t xml:space="preserve">Having regard to the complete notification file submitted to the mergers department on October 11, 2017,  </w:t>
        <w:br/>
        <w:t xml:space="preserve">concerning the exclusive control acquisition of the company Audasc by the company ITM Entreprises,  </w:t>
        <w:br/>
        <w:t>materialized by a letter of option exercise dated June 16, 2017;</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exclusive control acquisition by the company ITM Entreprises of  </w:t>
        <w:br/>
        <w:t xml:space="preserve">the company Audasc, which operates a retail business of the hypermarket type with a food predominance under the Intermarché brand and located in Rang du Fliers (62180). It constitutes a concentration operation within the meaning of Article L. 430-1 of the Commercial Code.  </w:t>
        <w:br/>
        <w:t>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17-215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