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https://www.autoritedelaconcurrence.fr/fr/decision-de-controle-des-concentrations/relative-la-prise-de-controle-exclusif-de-la-societe-auto-0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17-DCC-184 of November 10, 2017  </w:t>
        <w:br/>
        <w:t xml:space="preserve">regarding the exclusive control acquisition of the company Auto Expo Holding  </w:t>
        <w:br/>
        <w:t xml:space="preserve">by the company Volkswagen Group Retail France  </w:t>
        <w:br/>
        <w:t xml:space="preserve">The Competition Authority,  </w:t>
        <w:br/>
        <w:t xml:space="preserve">Having regard to the complete notification file sent to the mergers department on October 11, 2017,  </w:t>
        <w:br/>
        <w:t xml:space="preserve">concerning the exclusive control acquisition of the company Auto Expo Holding by the company Volkswagen  </w:t>
        <w:br/>
        <w:t xml:space="preserve">Group Retail France, formalized by a share purchase agreement dated March 21,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Volkswagen Group  </w:t>
        <w:br/>
        <w:t xml:space="preserve">Retail France of the company Auto Expo Holding and its subsidiaries, which are active in the  </w:t>
        <w:br/>
        <w:t xml:space="preserve">market for the distribution of motor vehicles. It constitutes a concentration within the meaning of  </w:t>
        <w:br/>
        <w:t xml:space="preserve">Article L. 430-1 of the Commercial Code. Given the turnover achieved by the companies concerned,  </w:t>
        <w:br/>
        <w:t xml:space="preserve">the operation does not fall under the jurisdiction of the European Union. However, the control thresholds  </w:t>
        <w:br/>
        <w:t xml:space="preserve">mentioned in II of Article L. 430-2 of the Commercial Code are exceeded. The present operation is therefore  </w:t>
        <w:br/>
        <w:t xml:space="preserve">subject to the provisions of Articles L. 430-3 and following of the Commercial Code relating to economic  </w:t>
        <w:br/>
        <w:t xml:space="preserve">concentration.  </w:t>
        <w:br/>
        <w:t xml:space="preserve">2. The markets concerned by the operation are the markets for the distribution of motor vehicles,  </w:t>
        <w:br/>
        <w:t xml:space="preserve">spare parts and automotive accessories, and maintenance and repair services for motor vehicles. These  </w:t>
        <w:br/>
        <w:t xml:space="preserve">markets are consistently defined by the decision-making practice of the Competition Authority.  </w:t>
        <w:br/>
        <w:t xml:space="preserve">3. Regardless of the segmentations of these markets retained, the combined market shares of the parties  </w:t>
        <w:br/>
        <w:t xml:space="preserve">are below 16%.  </w:t>
        <w:br/>
        <w:t xml:space="preserve">4. Considering the elements of the file and in particular point 384 of the guidelines of the  </w:t>
        <w:br/>
        <w:t xml:space="preserve">Competition Authority relating to the control of concentrations, the operation is not likely to harm  </w:t>
        <w:br/>
        <w:t>competition.</w:t>
      </w:r>
    </w:p>
    <w:p>
      <w:r>
        <w:t xml:space="preserve">DECIDES  </w:t>
        <w:br/>
        <w:t xml:space="preserve">Sole Article: The operation notified under number 17-179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