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https://www.autoritedelaconcurrence.fr/fr/decision-de-controle-des-concentrations/relative-la-prise-de-controle-exclusif-de-la-societe-auto-1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21-DCC-249 of December 10, 2021  </w:t>
        <w:br/>
        <w:t xml:space="preserve">regarding the exclusive control acquisition of the company Auto Martigues and  </w:t>
        <w:br/>
        <w:t xml:space="preserve">the company istréenne de diffusion automobile by the company Emil Frey  </w:t>
        <w:br/>
        <w:t xml:space="preserve">Motors France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25, 2021, concerning the exclusive control acquisition of the company Auto Martigues and the  </w:t>
        <w:br/>
        <w:t xml:space="preserve">company istréenne de diffusion automobile ("SIDA") by the company Emil Frey Motors France,  </w:t>
        <w:br/>
        <w:t xml:space="preserve">formalized by a letter of intent dated September 17,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Emil Frey Motors  </w:t>
        <w:br/>
        <w:t xml:space="preserve">France of the company Auto Martigues and SIDA, simultaneously active in the sectors of  </w:t>
        <w:br/>
        <w:t xml:space="preserve">retail distribution of motor vehicles, sale of spare parts, and automotive maintenance-repair. Auto Martigues and SIDA operate respectively, under the brands  </w:t>
        <w:br/>
        <w:t xml:space="preserve">Renault and Dacia, two business establishments of automobile dealerships in Istres (13) and an  </w:t>
        <w:br/>
        <w:t xml:space="preserve">automobile dealership in Martigues (13). The operation constitutes a concentration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On  </w:t>
        <w:br/>
        <w:t xml:space="preserve">the other hand, the retail trade control thresholds mentioned in II of Article  </w:t>
        <w:br/>
        <w:t xml:space="preserve">L. 430-2 of the Commercial Code are exceeded. The present operation is therefore subject to the  </w:t>
        <w:br/>
        <w:t xml:space="preserve">provisions of Articles L. 430-3 and following of the Commercial Code relating to economic  </w:t>
        <w:br/>
        <w:t xml:space="preserve">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21-254 is authorized.  </w:t>
        <w:br/>
        <w:t xml:space="preserve">The interim 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