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https://www.autoritedelaconcurrence.fr/fr/decision-de-controle-des-concentrations/relative-la-prise-de-controle-exclusif-de-la-societe-auto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14-DCC-05 of January 14, 2014  </w:t>
        <w:br/>
        <w:t xml:space="preserve">regarding the exclusive control acquisition of the company Auto-Lille by the  </w:t>
        <w:br/>
        <w:t xml:space="preserve">company PGA Motors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12, 2013, concerning the exclusive control acquisition of the company Auto-Lille by the company  </w:t>
        <w:br/>
        <w:t xml:space="preserve">PGA Motors, materialized by a letter of intent dated October 11,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Auto-Lille, active  </w:t>
        <w:br/>
        <w:t xml:space="preserve">in the distribution of BMW and Mini brand automobiles in Villeneuve d'Ascq (59), as well as of companies active in Belgium, by the company PGA Motors, which itself  </w:t>
        <w:br/>
        <w:t xml:space="preserve">operates several car dealerships in the Nord department (59).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have a  </w:t>
        <w:br/>
        <w:t xml:space="preserve">community dimension. On the other hand, the retail control thresholds mentioned in point II of Article L. 430-2 of the Commercial Code are exceeded. The present  </w:t>
        <w:br/>
        <w:t xml:space="preserve">operation is therefore subject to the provisions of Articles L. 430-3 and following of the Commercial 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13-243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