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https://www.autoritedelaconcurrence.fr/fr/decision-de-controle-des-concentrations/relative-la-prise-de-controle-exclusif-de-la-societe-autos</w:t>
      </w:r>
    </w:p>
    <w:p>
      <w:r>
        <w:t>Pages translated : 2</w:t>
      </w:r>
    </w:p>
    <w:p/>
    <w:p>
      <w:r>
        <w:rPr>
          <w:b/>
        </w:rPr>
        <w:t>[Pages 1–2]</w:t>
      </w:r>
    </w:p>
    <w:p>
      <w:r>
        <w:t xml:space="preserve">FRENCH REPUBLIC  </w:t>
        <w:br/>
        <w:t xml:space="preserve">Decision No. 19-DCC-45 of March 21, 2019  </w:t>
        <w:br/>
        <w:t>regarding the exclusive control acquisition of the company Autos Vienne Development and the business assets of the companies D’Avignon Automobiles and Premium Auto 38 by the Vulcain group</w:t>
      </w:r>
    </w:p>
    <w:p>
      <w:r>
        <w:t>The Competition Authority,</w:t>
      </w:r>
    </w:p>
    <w:p>
      <w:r>
        <w:t>Having regard to the complete notification file sent to the mergers department on February 25, 2019, concerning the exclusive control acquisition of the company Autos Vienne Development and the acquisition of the business assets of the companies D’Avignon Automobiles and Premium Auto 38 by the Vulcain group, formalized by a share transfer agreement dated December 21, 2018;</w:t>
      </w:r>
    </w:p>
    <w:p>
      <w:r>
        <w:t>Having regard to Book IV of the Commercial Code relating to the freedom of prices and competition, and in particular its Articles L. 430-1 to L. 430-7;</w:t>
      </w:r>
    </w:p>
    <w:p>
      <w:r>
        <w:t>Having regard to the elements transmitted during the investigation by the notifying party;</w:t>
      </w:r>
    </w:p>
    <w:p>
      <w:r>
        <w:t xml:space="preserve">Adopts the following decision:  </w:t>
        <w:br/>
        <w:t xml:space="preserve">1. The notified operation consists of the exclusive control acquisition by the Vulcain group of the company Auto Vienne Development and the business assets of the companies D’Avignon Automobiles and Premium Auto 38, which operate car dealerships for the brands Kia, Mazda, and Honda in the departments of Isère (38) and Haute-Savoie (74).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19-050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